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681—4.8</w:t>
      </w:r>
      <w:r>
        <w:rPr>
          <w:rFonts w:ascii="Times New Roman" w:hAnsi="Times New Roman"/>
          <w:b/>
          <w:i w:val="false"/>
          <w:color w:val="000000"/>
          <w:sz w:val="22"/>
        </w:rPr>
        <w:t xml:space="preserve">(262) </w:t>
      </w:r>
      <w:r>
        <w:rPr>
          <w:rFonts w:ascii="Times New Roman" w:hAnsi="Times New Roman"/>
          <w:b/>
          <w:i w:val="false"/>
          <w:color w:val="000000"/>
          <w:sz w:val="22"/>
        </w:rPr>
        <w:t xml:space="preserve">Administration of rules. </w:t>
      </w:r>
      <w:r>
        <w:rPr>
          <w:rFonts w:ascii="Times New Roman" w:hAnsi="Times New Roman"/>
          <w:b w:val="false"/>
          <w:i w:val="false"/>
          <w:color w:val="000000"/>
          <w:sz w:val="22"/>
        </w:rPr>
        <w:t>The president of the university shall be responsible for the proper administration of these rules. The president is authorized to establish traffic and parking procedures not inconsistent with these rules as may be reasonably necessary and convenient for the effective administration of presidential duties hereunder, and any procedure so established shall be published and available for public inspection during normal business hours in the office of the appointed authority and in the office of the state board of regents. The president may delegate authority under these rules to the appointed authority or to any other person designated by the president to perform any function or duty 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