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681—4.6</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privileges. </w:t>
      </w:r>
      <w:r>
        <w:rPr>
          <w:rFonts w:ascii="Times New Roman" w:hAnsi="Times New Roman"/>
          <w:b w:val="false"/>
          <w:i w:val="false"/>
          <w:color w:val="000000"/>
          <w:sz w:val="22"/>
        </w:rPr>
        <w:t>Students, employees, and visitors may be granted parking privileges on the campus in accordance with these rules and upon such other reasonable terms and conditions as may be established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Students may be granted parking privileges in parking facilities designated for student use. Optional plans and facilities may be offered as determined by the appointed authority. Reasonable classifications may be established on the basis of a student’s age, class, college or department, course load, proximity of the student’s residence to the campus, disability, employment, the availability of facilities, or any other relevant criterion to determine the eligibility of students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Nonstudent employees may be granted parking privileges in parking facilities designated for employee use. Optional plans and facilities may be offered as determined by the appointed authority. Reasonable classifications may be established on the basis of an employee’s job classification, length of service, place of work or the nature thereof, or disability; the availability of facilities; or any other relevant criterion to determine the priority of employees for assignment of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Visitors may be granted parking privileges in parking facilities designated for visitor parking. Optional plans and facilities may be offered as determined by the appointed authority. Reasonable classifications may be established on the basis of the time, duration or purpose of the visit; disability; the availability of facilities; or any other relevant criterion to determine the eligibility of visitors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w:t>
      </w:r>
      <w:r>
        <w:rPr>
          <w:rFonts w:ascii="Times New Roman" w:hAnsi="Times New Roman"/>
          <w:b w:val="false"/>
          <w:i w:val="false"/>
          <w:color w:val="000000"/>
          <w:sz w:val="22"/>
        </w:rPr>
        <w:t>Persons with disabilities will be granted parking privileges in parking facilities designated for use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Applications for parking privileges shall be submitted to the appointed authority in the manner the appointed authority prescribes. No student shall apply for parking privileges for any vehicle owned or maintained by another student. The appointed authority shall determine the eligibility and priority of each applicant for parking privileges within the classifications established in subrules </w:t>
      </w:r>
      <w:hyperlink r:id="rId4">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and shall make all parking assignments. A parking permit or other means of identification may be issued to each applicant who is granted parking privileges, and such permit or other identification must be displayed on the vehicle in the manner prescribed by the appointed authority. Parking permits are not transferable. Parking privileges shall not be granted to a student and to an employee or visitor for the same vehicle, and a student parking permit and an employee or visitor parking permit shall not be displayed on the same vehicle. The unauthorized possession, use, alteration, forging or counterfeiting of a parking permit, or any portion thereof, is prohibited. The appointed authority shall adopt a procedure to replace lost, stolen and destroyed parking permits and controlled access entry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Parking fees. </w:t>
      </w:r>
      <w:r>
        <w:rPr>
          <w:rFonts w:ascii="Times New Roman" w:hAnsi="Times New Roman"/>
          <w:b w:val="false"/>
          <w:i w:val="false"/>
          <w:color w:val="000000"/>
          <w:sz w:val="22"/>
        </w:rPr>
        <w:t>The university may assess and collect from students, employees, and visitors reasonable fees or charges for parking privileges and the use of parking facilities. The amount of such fees and charges shall be established by the university and approved by the state board of regents, and a schedule of all parking fees and charges shall be published and available for inspection during normal business hours in the office of the appointed authority and in the office of the state board of regents. Parking fees and charges may be assessed and collected on an annual, semester, monthly, daily, or hourly basis. Parking fees and charges may be added to student tuition bills and may by agreement be withheld from the salaries or wages of employees by payroll deduction. Parking fees and charges may be collected by means of parking meters, toll houses, and mobile parking applications. Use of any parking facility constitutes an implied agreement to pay the prescribed fee or charge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University business. </w:t>
      </w:r>
      <w:r>
        <w:rPr>
          <w:rFonts w:ascii="Times New Roman" w:hAnsi="Times New Roman"/>
          <w:b w:val="false"/>
          <w:i w:val="false"/>
          <w:color w:val="000000"/>
          <w:sz w:val="22"/>
        </w:rPr>
        <w:t>Special parking privileges may be granted for vehicles being used on official university business on the conditions and in the manner prescribed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Any person who maintains, owns or operates a vehicle that is parked on the campus or in whose name the vehicle is registered or to whom parking privileges have been granted is responsible for the proper parking of the vehicle at all times when it is on the campus and for all parking violations involving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Parking privileges granted hereunder constitute a license to use university parking facilities and do not constitute a lease of such facilities or a bailment of the vehicle by the university. Use of university parking facilities is at the owner’s or applicant’s risk, and the university shall not be liable or responsible for loss of or damage to any vehicle parked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Parking privileges on the campus may be revoked by the university for good cause at any time upon five days’ written notice and refund of any advance payment of parking fees or charges on a pro rata basis for the revoked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4.6.pdf" Type="http://schemas.openxmlformats.org/officeDocument/2006/relationships/hyperlink" Id="rId4"/>
    <Relationship TargetMode="External" Target="https://www.legis.iowa.gov/docs/iac/rule/681.4.6.pdf" Type="http://schemas.openxmlformats.org/officeDocument/2006/relationships/hyperlink" Id="rId5"/>
    <Relationship TargetMode="External" Target="https://www.legis.iowa.gov/docs/iac/rule/681.4.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