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681—3.9</w:t>
      </w:r>
      <w:r>
        <w:rPr>
          <w:rFonts w:ascii="Times New Roman" w:hAnsi="Times New Roman"/>
          <w:b/>
          <w:i w:val="false"/>
          <w:color w:val="000000"/>
          <w:sz w:val="22"/>
        </w:rPr>
        <w:t xml:space="preserve">(8A) </w:t>
      </w:r>
      <w:r>
        <w:rPr>
          <w:rFonts w:ascii="Times New Roman" w:hAnsi="Times New Roman"/>
          <w:b/>
          <w:i w:val="false"/>
          <w:color w:val="000000"/>
          <w:sz w:val="22"/>
        </w:rPr>
        <w:t xml:space="preserve">Applications. </w:t>
      </w:r>
      <w:r>
        <w:rPr>
          <w:rFonts w:ascii="Times New Roman" w:hAnsi="Times New Roman"/>
          <w:b w:val="false"/>
          <w:i w:val="false"/>
          <w:color w:val="000000"/>
          <w:sz w:val="22"/>
        </w:rPr>
        <w:t>Applications for employment will contain no question so formed as to elicit any information prohibited by state or federal statutes, and the truth of statements made on the application will be certified by the applicant. Public announcement of vacancies will be made for ten calendar days. A record of applications for employment will be kept at the institution in their recruitment and hiring system of record for a period of time to be designated by the resident director and pursuant to the institution record retention policies. Each institution may post recruitment announcements for application by employees of that institution only.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