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681—3.7</w:t>
      </w:r>
      <w:r>
        <w:rPr>
          <w:rFonts w:ascii="Times New Roman" w:hAnsi="Times New Roman"/>
          <w:b/>
          <w:i w:val="false"/>
          <w:color w:val="000000"/>
          <w:sz w:val="22"/>
        </w:rPr>
        <w:t xml:space="preserve">(8A) </w:t>
      </w:r>
      <w:r>
        <w:rPr>
          <w:rFonts w:ascii="Times New Roman" w:hAnsi="Times New Roman"/>
          <w:b/>
          <w:i w:val="false"/>
          <w:color w:val="000000"/>
          <w:sz w:val="22"/>
        </w:rPr>
        <w:t xml:space="preserve">Review and revision of the pay plan. </w:t>
      </w:r>
      <w:r>
        <w:rPr>
          <w:rFonts w:ascii="Times New Roman" w:hAnsi="Times New Roman"/>
          <w:b w:val="false"/>
          <w:i w:val="false"/>
          <w:color w:val="000000"/>
          <w:sz w:val="22"/>
        </w:rPr>
        <w:t xml:space="preserve">At least once each year, the complete pay plan will be reviewed for revision by the board in the same manner and following the same procedure stated in rule </w:t>
      </w:r>
      <w:hyperlink r:id="rId4">
        <w:r>
          <w:rPr>
            <w:rStyle w:val="Hyperlink"/>
            <w:rFonts w:ascii="Times New Roman" w:hAnsi="Times New Roman"/>
            <w:b w:val="false"/>
            <w:i w:val="false"/>
            <w:color w:val="000000"/>
            <w:sz w:val="22"/>
          </w:rPr>
          <w:t>681—3.6</w:t>
        </w:r>
      </w:hyperlink>
      <w:r>
        <w:rPr>
          <w:rFonts w:ascii="Times New Roman" w:hAnsi="Times New Roman"/>
          <w:b w:val="false"/>
          <w:i w:val="false"/>
          <w:color w:val="000000"/>
          <w:sz w:val="22"/>
        </w:rPr>
        <w:t>(8A). At any time, new classes may be established and other revisions may be made in the plan to reflect proper relationships and to facilitate recruitment and retention. Such changes will be effective after approval by the board and other authority as required by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0418D</w:t>
      </w:r>
      <w:r>
        <w:rPr>
          <w:rFonts w:ascii="Times New Roman" w:hAnsi="Times New Roman"/>
          <w:b w:val="false"/>
          <w:i w:val="false"/>
          <w:color w:val="000000"/>
          <w:sz w:val="16"/>
        </w:rPr>
        <w:t>, IAB 7/8/26, effective 8/12/26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681.3.6.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