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681—3.6</w:t>
      </w:r>
      <w:r>
        <w:rPr>
          <w:rFonts w:ascii="Times New Roman" w:hAnsi="Times New Roman"/>
          <w:b/>
          <w:i w:val="false"/>
          <w:color w:val="000000"/>
          <w:sz w:val="22"/>
        </w:rPr>
        <w:t xml:space="preserve">(8A) </w:t>
      </w:r>
      <w:r>
        <w:rPr>
          <w:rFonts w:ascii="Times New Roman" w:hAnsi="Times New Roman"/>
          <w:b/>
          <w:i w:val="false"/>
          <w:color w:val="000000"/>
          <w:sz w:val="22"/>
        </w:rPr>
        <w:t xml:space="preserve">Preparation, content and adoption of the pay plan. </w:t>
      </w:r>
      <w:r>
        <w:rPr>
          <w:rFonts w:ascii="Times New Roman" w:hAnsi="Times New Roman"/>
          <w:b w:val="false"/>
          <w:i w:val="false"/>
          <w:color w:val="000000"/>
          <w:sz w:val="22"/>
        </w:rPr>
        <w:t>The board will adopt a pay plan for all the classes established in the classification plan. The pay plan will consist of numbered grades with minimums and maximums for each grade. The plan is intended to reflect the relative difficulty and responsibility of the work involved in the various classes. This relative difficulty and responsibility of work, in addition to market data that is pertinent to the labor market, will be utilized to assign classifications to pay grades. Market data sources and their application will be approved and administered under the direction of the merit system director. The plan will be uniformly applicable to all regents institutions, except for variances approved on the basis of geographical differences.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