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681—3.5</w:t>
      </w:r>
      <w:r>
        <w:rPr>
          <w:rFonts w:ascii="Times New Roman" w:hAnsi="Times New Roman"/>
          <w:b/>
          <w:i w:val="false"/>
          <w:color w:val="000000"/>
          <w:sz w:val="22"/>
        </w:rPr>
        <w:t xml:space="preserve">(8A) </w:t>
      </w:r>
      <w:r>
        <w:rPr>
          <w:rFonts w:ascii="Times New Roman" w:hAnsi="Times New Roman"/>
          <w:b/>
          <w:i w:val="false"/>
          <w:color w:val="000000"/>
          <w:sz w:val="22"/>
        </w:rPr>
        <w:t xml:space="preserve">Administration of the classification plan. </w:t>
      </w:r>
      <w:r>
        <w:rPr>
          <w:rFonts w:ascii="Times New Roman" w:hAnsi="Times New Roman"/>
          <w:b w:val="false"/>
          <w:i w:val="false"/>
          <w:color w:val="000000"/>
          <w:sz w:val="22"/>
        </w:rPr>
        <w:t xml:space="preserve">The merit system director will direct the uniform administration of the classification plan. Resident directors may recommend new classifications and changes to existing classifications. Employing departments and employees may appeal classification and reclassification in accordance with rule </w:t>
      </w:r>
      <w:hyperlink r:id="rId4">
        <w:r>
          <w:rPr>
            <w:rStyle w:val="Hyperlink"/>
            <w:rFonts w:ascii="Times New Roman" w:hAnsi="Times New Roman"/>
            <w:b w:val="false"/>
            <w:i w:val="false"/>
            <w:color w:val="000000"/>
            <w:sz w:val="22"/>
          </w:rPr>
          <w:t>681—3.24</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The merit system director, in consultation with the resident directors and subject to the approval of the board, may establish new classifications and change or abolish existing classifications that affect the merit system pay plan to meet the needs of the institutions and to properly reflect changes in work. When the changes do not affect the pay plan of the merit system, the merit system director may, in consultation with the resident directors, change existing classifications and report such changes annually to the board. When the classification of a position is changed, the incumbent will be entitled to continue service in the position provided the incumbent meets the minimum qualifications or provided the duties have not changed appreciably. If the incumbent is not eligible to continue, the incumbent may be transferred, promoted, demoted, or laid off in accordance with the rules. Changes in classification will not be used to avoid other provisions of these rules relating to layoffs, promotions, demotions, and dismissal.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3.2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