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681—3.4</w:t>
      </w:r>
      <w:r>
        <w:rPr>
          <w:rFonts w:ascii="Times New Roman" w:hAnsi="Times New Roman"/>
          <w:b/>
          <w:i w:val="false"/>
          <w:color w:val="000000"/>
          <w:sz w:val="22"/>
        </w:rPr>
        <w:t xml:space="preserve">(8A) </w:t>
      </w:r>
      <w:r>
        <w:rPr>
          <w:rFonts w:ascii="Times New Roman" w:hAnsi="Times New Roman"/>
          <w:b/>
          <w:i w:val="false"/>
          <w:color w:val="000000"/>
          <w:sz w:val="22"/>
        </w:rPr>
        <w:t xml:space="preserve">Preparation and maintenance of the classification plan. </w:t>
      </w:r>
      <w:r>
        <w:rPr>
          <w:rFonts w:ascii="Times New Roman" w:hAnsi="Times New Roman"/>
          <w:b w:val="false"/>
          <w:i w:val="false"/>
          <w:color w:val="000000"/>
          <w:sz w:val="22"/>
        </w:rPr>
        <w:t>The merit system director, in consultation with the resident directors and subject to the approval of the board, shall develop and maintain a classification plan. This plan will ensure that all positions with similar duties, responsibilities, and levels of difficulty are included in the same class. Each class will have the same minimum qualifications and an equitable pay schedule (except for geographical differences). The plan will include a class title; job definition; descriptions of the work performed; required knowledge, skills, and abilities; and the minimum qualifications for each class.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