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681—3.28</w:t>
      </w:r>
      <w:r>
        <w:rPr>
          <w:rFonts w:ascii="Times New Roman" w:hAnsi="Times New Roman"/>
          <w:b/>
          <w:i w:val="false"/>
          <w:color w:val="000000"/>
          <w:sz w:val="22"/>
        </w:rPr>
        <w:t xml:space="preserve">(8A) </w:t>
      </w:r>
      <w:r>
        <w:rPr>
          <w:rFonts w:ascii="Times New Roman" w:hAnsi="Times New Roman"/>
          <w:b/>
          <w:i w:val="false"/>
          <w:color w:val="000000"/>
          <w:sz w:val="22"/>
        </w:rPr>
        <w:t xml:space="preserve">Leave of absence without pay. </w:t>
      </w:r>
      <w:r>
        <w:rPr>
          <w:rFonts w:ascii="Times New Roman" w:hAnsi="Times New Roman"/>
          <w:b w:val="false"/>
          <w:i w:val="false"/>
          <w:color w:val="000000"/>
          <w:sz w:val="22"/>
        </w:rPr>
        <w:t>In the best interests of the institution and its employees and with approval of the resident director, a department head may grant an employee’s requests for a leave of absence without pay for up to one year. With the same approval, such a leave may be extended for no more than one additional year.</w:t>
      </w:r>
    </w:p>
    <w:p>
      <w:pPr>
        <w:spacing w:before="0" w:after="0"/>
        <w:ind w:left="120"/>
        <w:jc w:val="both"/>
      </w:pPr>
      <w:r>
        <w:rPr>
          <w:rFonts w:ascii="Times New Roman" w:hAnsi="Times New Roman"/>
          <w:b w:val="false"/>
          <w:i w:val="false"/>
          <w:color w:val="000000"/>
          <w:sz w:val="22"/>
        </w:rPr>
        <w:t>On conclusion of a leave of absence without pay, an employee, if qualified, will be returned to the position from which the employee was granted leave or to another position in the same class. If such a position no longer exists, the layoff provisions of these rules will take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