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681—3.27</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care and funeral leave. </w:t>
      </w:r>
      <w:r>
        <w:rPr>
          <w:rFonts w:ascii="Times New Roman" w:hAnsi="Times New Roman"/>
          <w:b w:val="false"/>
          <w:i w:val="false"/>
          <w:color w:val="000000"/>
          <w:sz w:val="22"/>
        </w:rPr>
        <w:t>An employing department will, when satisfied by evidence presented, grant an employee time off with pay: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to exceed three days for each occurrence in the case of death in the employee’s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to exceed one day for each occurrence for service as a pallbearer at the funeral of a person not a member of the employee’s immediate family;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to exceed 40 hours a year for the care of or necessary attention of ill or injured members of the employee’s immediate family. An employee may carry over up to 40 hours of unused family care leave to the next year, for a maximum utilization of 80 hours in the next year.</w:t>
      </w:r>
    </w:p>
    <w:p>
      <w:pPr>
        <w:spacing w:before="0" w:after="0"/>
        <w:ind w:left="120"/>
        <w:jc w:val="both"/>
      </w:pPr>
      <w:r>
        <w:rPr>
          <w:rFonts w:ascii="Times New Roman" w:hAnsi="Times New Roman"/>
          <w:b w:val="false"/>
          <w:i w:val="false"/>
          <w:color w:val="000000"/>
          <w:sz w:val="22"/>
        </w:rPr>
        <w:t>All such time off will be charged to the employee’s sick leave and will not be granted in excess of the employee’s accrued leave. For the purpose of this rule, “immediate family” is defined as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