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681—3.24</w:t>
      </w:r>
      <w:r>
        <w:rPr>
          <w:rFonts w:ascii="Times New Roman" w:hAnsi="Times New Roman"/>
          <w:b/>
          <w:i w:val="false"/>
          <w:color w:val="000000"/>
          <w:sz w:val="22"/>
        </w:rPr>
        <w:t xml:space="preserve">(8A) </w:t>
      </w:r>
      <w:r>
        <w:rPr>
          <w:rFonts w:ascii="Times New Roman" w:hAnsi="Times New Roman"/>
          <w:b/>
          <w:i w:val="false"/>
          <w:color w:val="000000"/>
          <w:sz w:val="22"/>
        </w:rPr>
        <w:t xml:space="preserve">Reviews of position classification. </w:t>
      </w:r>
      <w:r>
        <w:rPr>
          <w:rFonts w:ascii="Times New Roman" w:hAnsi="Times New Roman"/>
          <w:b w:val="false"/>
          <w:i w:val="false"/>
          <w:color w:val="000000"/>
          <w:sz w:val="22"/>
        </w:rPr>
        <w:t>A permanent employee or department designee may request a position classification review in written form. The employee’s or designee’s request will be forwarded to the college or division with a recommendation from the department head within 14 days of the date of the request. The college or division will forward the request to the resident director within 14 days. The resident director shall provide a recommendation to the merit system director within 20 working days. The merit system director or designee shall provide a decision within 20 working days to the resident director who will inform the employee and department designee. If the employee or department is not satisfied with the merit system director’s decision, the employee or designee may appeal the decision in writing within seven days of the decision to a qualified classification appeal committee appointed in accordance with the procedures approved by the board.</w:t>
      </w:r>
    </w:p>
    <w:p>
      <w:pPr>
        <w:spacing w:before="0" w:after="0"/>
        <w:ind w:left="120"/>
        <w:jc w:val="both"/>
      </w:pPr>
      <w:r>
        <w:rPr>
          <w:rFonts w:ascii="Times New Roman" w:hAnsi="Times New Roman"/>
          <w:b w:val="false"/>
          <w:i w:val="false"/>
          <w:color w:val="000000"/>
          <w:sz w:val="22"/>
        </w:rPr>
        <w:t>The classification appeal committee will conduct such investigation as it deems necessary to determine the proper classification of the position and will notify the involved parties of its decision within 45 days from receipt of the appeal. Any further requests for review of the same position must be presented to the resident director in compliance with this rule and will be considered a new classification review. A new classification review will not be allowed for one year following the final decision on a request for review unless there have been substantial changes in the duties and responsibilities of the position. An appeal will be considered based on the duties and responsibilities assigned at the time of the original classification review, and in no case will the assignment of additional duties and responsibilities following the resident director’s investigation of the original request for review be considered during the process of appeal as outlined above.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