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681—3.23</w:t>
      </w:r>
      <w:r>
        <w:rPr>
          <w:rFonts w:ascii="Times New Roman" w:hAnsi="Times New Roman"/>
          <w:b/>
          <w:i w:val="false"/>
          <w:color w:val="000000"/>
          <w:sz w:val="22"/>
        </w:rPr>
        <w:t xml:space="preserve">(8A) </w:t>
      </w:r>
      <w:r>
        <w:rPr>
          <w:rFonts w:ascii="Times New Roman" w:hAnsi="Times New Roman"/>
          <w:b/>
          <w:i w:val="false"/>
          <w:color w:val="000000"/>
          <w:sz w:val="22"/>
        </w:rPr>
        <w:t xml:space="preserve">Disciplinary actions. </w:t>
      </w:r>
      <w:r>
        <w:rPr>
          <w:rFonts w:ascii="Times New Roman" w:hAnsi="Times New Roman"/>
          <w:b w:val="false"/>
          <w:i w:val="false"/>
          <w:color w:val="000000"/>
          <w:sz w:val="22"/>
        </w:rPr>
        <w:t>Disciplinary action will be reasonable, timely and related in severity to the seriousness of the offense; however, this will not preclude reasonable penalties of varying severity for an accumulation of offenses.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 xml:space="preserve">The employing department may, for cause, suspend any employee for such length of time as the department head considers appropriate, not to exceed 30 days. The employing department will inform the affected employee of the suspension and the reasons therefor in writing within 24 hours of the time the action is taken. A copy of the suspension will be sent by the department to the resident director and will be maintained in the employee’s official record. An employee may appeal the action directly to Step 2 of the grievance procedure specified in rule </w:t>
      </w:r>
      <w:hyperlink r:id="rId4">
        <w:r>
          <w:rPr>
            <w:rStyle w:val="Hyperlink"/>
            <w:rFonts w:ascii="Times New Roman" w:hAnsi="Times New Roman"/>
            <w:b w:val="false"/>
            <w:i w:val="false"/>
            <w:color w:val="000000"/>
            <w:sz w:val="22"/>
          </w:rPr>
          <w:t>681—3.25</w:t>
        </w:r>
      </w:hyperlink>
      <w:r>
        <w:rPr>
          <w:rFonts w:ascii="Times New Roman" w:hAnsi="Times New Roman"/>
          <w:b w:val="false"/>
          <w:i w:val="false"/>
          <w:color w:val="000000"/>
          <w:sz w:val="22"/>
        </w:rPr>
        <w:t xml:space="preserve">(8A) or to a comparable step in a grievance procedure approved in accordance with subrule </w:t>
      </w:r>
      <w:hyperlink r:id="rId5">
        <w:r>
          <w:rPr>
            <w:rStyle w:val="Hyperlink"/>
            <w:rFonts w:ascii="Times New Roman" w:hAnsi="Times New Roman"/>
            <w:b w:val="false"/>
            <w:i w:val="false"/>
            <w:color w:val="000000"/>
            <w:sz w:val="22"/>
          </w:rPr>
          <w:t>3.25(1)</w:t>
        </w:r>
      </w:hyperlink>
      <w:r>
        <w:rPr>
          <w:rFonts w:ascii="Times New Roman" w:hAnsi="Times New Roman"/>
          <w:b w:val="false"/>
          <w:i w:val="false"/>
          <w:color w:val="000000"/>
          <w:sz w:val="22"/>
        </w:rPr>
        <w:t>. If not satisfied with the decision rendered at that step, an employee may pursue the employee’s appeal in accordance with the grievance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3.23(2)</w:t>
      </w:r>
      <w:r>
        <w:rPr>
          <w:rFonts w:ascii="Times New Roman" w:hAnsi="Times New Roman"/>
          <w:b w:val="false"/>
          <w:i w:val="false"/>
          <w:color w:val="000000"/>
          <w:sz w:val="22"/>
        </w:rPr>
        <w:t> </w:t>
      </w:r>
      <w:r>
        <w:rPr>
          <w:rFonts w:ascii="Times New Roman" w:hAnsi="Times New Roman"/>
          <w:b w:val="false"/>
          <w:i/>
          <w:color w:val="000000"/>
          <w:sz w:val="22"/>
        </w:rPr>
        <w:t xml:space="preserve">Reduction of pay within grade. </w:t>
      </w:r>
      <w:r>
        <w:rPr>
          <w:rFonts w:ascii="Times New Roman" w:hAnsi="Times New Roman"/>
          <w:b w:val="false"/>
          <w:i w:val="false"/>
          <w:color w:val="000000"/>
          <w:sz w:val="22"/>
        </w:rPr>
        <w:t xml:space="preserve">An employing department may, for cause, reduce the pay of an employee to a lower rate of pay within the pay grade assigned to the classification. The department will notify the affected employee of the reduction, the reasons therefor and the duration thereof in writing within 24 hours of the time the action is taken. A copy of the reduction notice will be sent by the department to the resident director and will be maintained in the employee’s official record. An employee may appeal the action directly to Step 2 of the grievance procedure specified in rule </w:t>
      </w:r>
      <w:hyperlink r:id="rId6">
        <w:r>
          <w:rPr>
            <w:rStyle w:val="Hyperlink"/>
            <w:rFonts w:ascii="Times New Roman" w:hAnsi="Times New Roman"/>
            <w:b w:val="false"/>
            <w:i w:val="false"/>
            <w:color w:val="000000"/>
            <w:sz w:val="22"/>
          </w:rPr>
          <w:t>681—3.25</w:t>
        </w:r>
      </w:hyperlink>
      <w:r>
        <w:rPr>
          <w:rFonts w:ascii="Times New Roman" w:hAnsi="Times New Roman"/>
          <w:b w:val="false"/>
          <w:i w:val="false"/>
          <w:color w:val="000000"/>
          <w:sz w:val="22"/>
        </w:rPr>
        <w:t xml:space="preserve">(8A) or a comparable step in a grievance procedure approved in accordance with subrule </w:t>
      </w:r>
      <w:hyperlink r:id="rId7">
        <w:r>
          <w:rPr>
            <w:rStyle w:val="Hyperlink"/>
            <w:rFonts w:ascii="Times New Roman" w:hAnsi="Times New Roman"/>
            <w:b w:val="false"/>
            <w:i w:val="false"/>
            <w:color w:val="000000"/>
            <w:sz w:val="22"/>
          </w:rPr>
          <w:t>3.25(1)</w:t>
        </w:r>
      </w:hyperlink>
      <w:r>
        <w:rPr>
          <w:rFonts w:ascii="Times New Roman" w:hAnsi="Times New Roman"/>
          <w:b w:val="false"/>
          <w:i w:val="false"/>
          <w:color w:val="000000"/>
          <w:sz w:val="22"/>
        </w:rPr>
        <w:t>. If not satisfied with the decision rendered at that step, an employee may pursue the employee’s appeal in accordance with the grievance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3.23(3)</w:t>
      </w:r>
      <w:r>
        <w:rPr>
          <w:rFonts w:ascii="Times New Roman" w:hAnsi="Times New Roman"/>
          <w:b w:val="false"/>
          <w:i w:val="false"/>
          <w:color w:val="000000"/>
          <w:sz w:val="22"/>
        </w:rPr>
        <w:t> </w:t>
      </w:r>
      <w:r>
        <w:rPr>
          <w:rFonts w:ascii="Times New Roman" w:hAnsi="Times New Roman"/>
          <w:b w:val="false"/>
          <w:i/>
          <w:color w:val="000000"/>
          <w:sz w:val="22"/>
        </w:rPr>
        <w:t xml:space="preserve">Demotion. </w:t>
      </w:r>
      <w:r>
        <w:rPr>
          <w:rFonts w:ascii="Times New Roman" w:hAnsi="Times New Roman"/>
          <w:b w:val="false"/>
          <w:i w:val="false"/>
          <w:color w:val="000000"/>
          <w:sz w:val="22"/>
        </w:rPr>
        <w:t xml:space="preserve">An employing department may, for cause, demote an employee to a vacant position in a lower classification provided the employee meets the qualifications for that lower classification. The department head will notify the affected employee of the demotion and the reasons therefor in writing within 24 hours of the time the action is taken. A copy of the notice of demotion will be sent by the department to the resident director and will be maintained in the employee’s official record. An employee may appeal the action directly to Step 2 of the grievance procedure specified in rule </w:t>
      </w:r>
      <w:hyperlink r:id="rId8">
        <w:r>
          <w:rPr>
            <w:rStyle w:val="Hyperlink"/>
            <w:rFonts w:ascii="Times New Roman" w:hAnsi="Times New Roman"/>
            <w:b w:val="false"/>
            <w:i w:val="false"/>
            <w:color w:val="000000"/>
            <w:sz w:val="22"/>
          </w:rPr>
          <w:t>681—3.25</w:t>
        </w:r>
      </w:hyperlink>
      <w:r>
        <w:rPr>
          <w:rFonts w:ascii="Times New Roman" w:hAnsi="Times New Roman"/>
          <w:b w:val="false"/>
          <w:i w:val="false"/>
          <w:color w:val="000000"/>
          <w:sz w:val="22"/>
        </w:rPr>
        <w:t xml:space="preserve">(8A) or a comparable step in a grievance procedure approved in accordance with subrule </w:t>
      </w:r>
      <w:hyperlink r:id="rId9">
        <w:r>
          <w:rPr>
            <w:rStyle w:val="Hyperlink"/>
            <w:rFonts w:ascii="Times New Roman" w:hAnsi="Times New Roman"/>
            <w:b w:val="false"/>
            <w:i w:val="false"/>
            <w:color w:val="000000"/>
            <w:sz w:val="22"/>
          </w:rPr>
          <w:t>3.25(1)</w:t>
        </w:r>
      </w:hyperlink>
      <w:r>
        <w:rPr>
          <w:rFonts w:ascii="Times New Roman" w:hAnsi="Times New Roman"/>
          <w:b w:val="false"/>
          <w:i w:val="false"/>
          <w:color w:val="000000"/>
          <w:sz w:val="22"/>
        </w:rPr>
        <w:t>. If not satisfied with the decision rendered at that step, an employee may pursue the employee’s appeal in accordance with the grievance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3.23(4)</w:t>
      </w:r>
      <w:r>
        <w:rPr>
          <w:rFonts w:ascii="Times New Roman" w:hAnsi="Times New Roman"/>
          <w:b w:val="false"/>
          <w:i w:val="false"/>
          <w:color w:val="000000"/>
          <w:sz w:val="22"/>
        </w:rPr>
        <w:t> </w:t>
      </w:r>
      <w:r>
        <w:rPr>
          <w:rFonts w:ascii="Times New Roman" w:hAnsi="Times New Roman"/>
          <w:b w:val="false"/>
          <w:i/>
          <w:color w:val="000000"/>
          <w:sz w:val="22"/>
        </w:rPr>
        <w:t xml:space="preserve">Discharge. </w:t>
      </w:r>
      <w:r>
        <w:rPr>
          <w:rFonts w:ascii="Times New Roman" w:hAnsi="Times New Roman"/>
          <w:b w:val="false"/>
          <w:i w:val="false"/>
          <w:color w:val="000000"/>
          <w:sz w:val="22"/>
        </w:rPr>
        <w:t xml:space="preserve">A department head may, for cause, discharge any employee. The department head will notify the affected employee of the discharge and the reasons therefor in writing within 24 hours of the time the action is taken. A copy of the notice of discharge will be sent by the department to the resident director and will be maintained in the employee’s official record. An employee may appeal the action directly to Step 2 of the grievance procedure specified in rule </w:t>
      </w:r>
      <w:hyperlink r:id="rId10">
        <w:r>
          <w:rPr>
            <w:rStyle w:val="Hyperlink"/>
            <w:rFonts w:ascii="Times New Roman" w:hAnsi="Times New Roman"/>
            <w:b w:val="false"/>
            <w:i w:val="false"/>
            <w:color w:val="000000"/>
            <w:sz w:val="22"/>
          </w:rPr>
          <w:t>681—3.25</w:t>
        </w:r>
      </w:hyperlink>
      <w:r>
        <w:rPr>
          <w:rFonts w:ascii="Times New Roman" w:hAnsi="Times New Roman"/>
          <w:b w:val="false"/>
          <w:i w:val="false"/>
          <w:color w:val="000000"/>
          <w:sz w:val="22"/>
        </w:rPr>
        <w:t xml:space="preserve">(8A) or a comparable step in a grievance procedure approved in accordance with subrule </w:t>
      </w:r>
      <w:hyperlink r:id="rId11">
        <w:r>
          <w:rPr>
            <w:rStyle w:val="Hyperlink"/>
            <w:rFonts w:ascii="Times New Roman" w:hAnsi="Times New Roman"/>
            <w:b w:val="false"/>
            <w:i w:val="false"/>
            <w:color w:val="000000"/>
            <w:sz w:val="22"/>
          </w:rPr>
          <w:t>3.25(1)</w:t>
        </w:r>
      </w:hyperlink>
      <w:r>
        <w:rPr>
          <w:rFonts w:ascii="Times New Roman" w:hAnsi="Times New Roman"/>
          <w:b w:val="false"/>
          <w:i w:val="false"/>
          <w:color w:val="000000"/>
          <w:sz w:val="22"/>
        </w:rPr>
        <w:t>. If not satisfied with the decision rendered at that step, an employee may pursue the employee’s appeal in accordance with the grievance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3.23(5)</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rehire. </w:t>
      </w:r>
      <w:r>
        <w:rPr>
          <w:rFonts w:ascii="Times New Roman" w:hAnsi="Times New Roman"/>
          <w:b w:val="false"/>
          <w:i w:val="false"/>
          <w:color w:val="000000"/>
          <w:sz w:val="22"/>
        </w:rPr>
        <w:t>An employee discharged for misconduct or unsatisfactory performance may be determined to be ineligible for reemployment with the same institution. The former employee will be promptly notified and may request review of the reason for disqualification. Such request shall be in writing, and upon receipt, the resident director will give full consideration to the request for review and notify the applicant of the resident director’s decision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81.3.25.pdf" Type="http://schemas.openxmlformats.org/officeDocument/2006/relationships/hyperlink" Id="rId4"/>
    <Relationship TargetMode="External" Target="https://www.legis.iowa.gov/docs/iac/rule/681.3.25.pdf" Type="http://schemas.openxmlformats.org/officeDocument/2006/relationships/hyperlink" Id="rId5"/>
    <Relationship TargetMode="External" Target="https://www.legis.iowa.gov/docs/iac/rule/681.3.25.pdf" Type="http://schemas.openxmlformats.org/officeDocument/2006/relationships/hyperlink" Id="rId6"/>
    <Relationship TargetMode="External" Target="https://www.legis.iowa.gov/docs/iac/rule/681.3.25.pdf" Type="http://schemas.openxmlformats.org/officeDocument/2006/relationships/hyperlink" Id="rId7"/>
    <Relationship TargetMode="External" Target="https://www.legis.iowa.gov/docs/iac/rule/681.3.25.pdf" Type="http://schemas.openxmlformats.org/officeDocument/2006/relationships/hyperlink" Id="rId8"/>
    <Relationship TargetMode="External" Target="https://www.legis.iowa.gov/docs/iac/rule/681.3.25.pdf" Type="http://schemas.openxmlformats.org/officeDocument/2006/relationships/hyperlink" Id="rId9"/>
    <Relationship TargetMode="External" Target="https://www.legis.iowa.gov/docs/iac/rule/681.3.25.pdf" Type="http://schemas.openxmlformats.org/officeDocument/2006/relationships/hyperlink" Id="rId10"/>
    <Relationship TargetMode="External" Target="https://www.legis.iowa.gov/docs/iac/rule/681.3.25.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