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681—3.22</w:t>
      </w:r>
      <w:r>
        <w:rPr>
          <w:rFonts w:ascii="Times New Roman" w:hAnsi="Times New Roman"/>
          <w:b/>
          <w:i w:val="false"/>
          <w:color w:val="000000"/>
          <w:sz w:val="22"/>
        </w:rPr>
        <w:t xml:space="preserve">(8A) </w:t>
      </w:r>
      <w:r>
        <w:rPr>
          <w:rFonts w:ascii="Times New Roman" w:hAnsi="Times New Roman"/>
          <w:b/>
          <w:i w:val="false"/>
          <w:color w:val="000000"/>
          <w:sz w:val="22"/>
        </w:rPr>
        <w:t xml:space="preserve">Recall lists. </w:t>
      </w:r>
      <w:r>
        <w:rPr>
          <w:rFonts w:ascii="Times New Roman" w:hAnsi="Times New Roman"/>
          <w:b w:val="false"/>
          <w:i w:val="false"/>
          <w:color w:val="000000"/>
          <w:sz w:val="22"/>
        </w:rPr>
        <w:t xml:space="preserve">Recall lists will consist of the names of permanent employees who have been laid off or demoted in lieu of layoff or who are able and qualified to return to work following a medically related disability leave in accordance with paragraph </w:t>
      </w:r>
      <w:hyperlink r:id="rId4">
        <w:r>
          <w:rPr>
            <w:rStyle w:val="Hyperlink"/>
            <w:rFonts w:ascii="Times New Roman" w:hAnsi="Times New Roman"/>
            <w:b w:val="false"/>
            <w:i w:val="false"/>
            <w:color w:val="000000"/>
            <w:sz w:val="22"/>
          </w:rPr>
          <w:t>3.21(1)</w:t>
        </w:r>
      </w:hyperlink>
      <w:r>
        <w:rPr>
          <w:rFonts w:ascii="Times New Roman" w:hAnsi="Times New Roman"/>
          <w:b w:val="false"/>
          <w:i/>
          <w:color w:val="000000"/>
          <w:sz w:val="22"/>
        </w:rPr>
        <w:t>“i”</w:t>
      </w:r>
      <w:r>
        <w:rPr>
          <w:rFonts w:ascii="Times New Roman" w:hAnsi="Times New Roman"/>
          <w:b w:val="false"/>
          <w:i w:val="false"/>
          <w:color w:val="000000"/>
          <w:sz w:val="22"/>
        </w:rPr>
        <w:t xml:space="preserve"> and rule </w:t>
      </w:r>
      <w:hyperlink r:id="rId5">
        <w:r>
          <w:rPr>
            <w:rStyle w:val="Hyperlink"/>
            <w:rFonts w:ascii="Times New Roman" w:hAnsi="Times New Roman"/>
            <w:b w:val="false"/>
            <w:i w:val="false"/>
            <w:color w:val="000000"/>
            <w:sz w:val="22"/>
          </w:rPr>
          <w:t>681—3.26</w:t>
        </w:r>
      </w:hyperlink>
      <w:r>
        <w:rPr>
          <w:rFonts w:ascii="Times New Roman" w:hAnsi="Times New Roman"/>
          <w:b w:val="false"/>
          <w:i w:val="false"/>
          <w:color w:val="000000"/>
          <w:sz w:val="22"/>
        </w:rPr>
        <w:t xml:space="preserve">(8A) or in accordance with subrule </w:t>
      </w:r>
      <w:hyperlink r:id="rId6">
        <w:r>
          <w:rPr>
            <w:rStyle w:val="Hyperlink"/>
            <w:rFonts w:ascii="Times New Roman" w:hAnsi="Times New Roman"/>
            <w:b w:val="false"/>
            <w:i w:val="false"/>
            <w:color w:val="000000"/>
            <w:sz w:val="22"/>
          </w:rPr>
          <w:t>3.18(3)</w:t>
        </w:r>
      </w:hyperlink>
      <w:r>
        <w:rPr>
          <w:rFonts w:ascii="Times New Roman" w:hAnsi="Times New Roman"/>
          <w:b w:val="false"/>
          <w:i w:val="false"/>
          <w:color w:val="000000"/>
          <w:sz w:val="22"/>
        </w:rPr>
        <w:t>. These lists will be maintained in order by retention points calculated in accordance with the rules for reduction in force, beginning with the person with the highest number of points. Recall rights apply only to classifications for which the employee is eligible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3.22(1)</w:t>
      </w:r>
      <w:r>
        <w:rPr>
          <w:rFonts w:ascii="Times New Roman" w:hAnsi="Times New Roman"/>
          <w:b w:val="false"/>
          <w:i w:val="false"/>
          <w:color w:val="000000"/>
          <w:sz w:val="22"/>
        </w:rPr>
        <w:t> </w:t>
      </w:r>
      <w:r>
        <w:rPr>
          <w:rFonts w:ascii="Times New Roman" w:hAnsi="Times New Roman"/>
          <w:b w:val="false"/>
          <w:i/>
          <w:color w:val="000000"/>
          <w:sz w:val="22"/>
        </w:rPr>
        <w:t xml:space="preserve">Removal of names from recall lists. </w:t>
      </w:r>
      <w:r>
        <w:rPr>
          <w:rFonts w:ascii="Times New Roman" w:hAnsi="Times New Roman"/>
          <w:b w:val="false"/>
          <w:i w:val="false"/>
          <w:color w:val="000000"/>
          <w:sz w:val="22"/>
        </w:rPr>
        <w:t>The resident director may permanently or temporarily remove names from recall lists for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receipt of notification from an applicant that the applicant no longer desires consideration for a position in the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Appointment to fill a permanent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respond within five working days to the written inquiry of the resident director relative to availability for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Declination of an appointment that an applicant previously indicated the applicant would accept.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Failure to appear for a scheduled employment interview or to report for duty within a reasonable time specified by the employing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Failure to maintain contact with the resident director as evidenced by the return of a properly addressed unclaimed letter or other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Willful violation of any of the provisions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3.22(2)</w:t>
      </w:r>
      <w:r>
        <w:rPr>
          <w:rFonts w:ascii="Times New Roman" w:hAnsi="Times New Roman"/>
          <w:b w:val="false"/>
          <w:i w:val="false"/>
          <w:color w:val="000000"/>
          <w:sz w:val="22"/>
        </w:rPr>
        <w:t> </w:t>
      </w:r>
      <w:r>
        <w:rPr>
          <w:rFonts w:ascii="Times New Roman" w:hAnsi="Times New Roman"/>
          <w:b w:val="false"/>
          <w:i/>
          <w:color w:val="000000"/>
          <w:sz w:val="22"/>
        </w:rPr>
        <w:t xml:space="preserve">Duration of recall lists. </w:t>
      </w:r>
      <w:r>
        <w:rPr>
          <w:rFonts w:ascii="Times New Roman" w:hAnsi="Times New Roman"/>
          <w:b w:val="false"/>
          <w:i w:val="false"/>
          <w:color w:val="000000"/>
          <w:sz w:val="22"/>
        </w:rPr>
        <w:t>The names of employees who have not been appointed or otherwise removed from lists will be removed at the termination of the period of time designated by the resident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3.22(3)</w:t>
      </w:r>
      <w:r>
        <w:rPr>
          <w:rFonts w:ascii="Times New Roman" w:hAnsi="Times New Roman"/>
          <w:b w:val="false"/>
          <w:i w:val="false"/>
          <w:color w:val="000000"/>
          <w:sz w:val="22"/>
        </w:rPr>
        <w:t> </w:t>
      </w:r>
      <w:r>
        <w:rPr>
          <w:rFonts w:ascii="Times New Roman" w:hAnsi="Times New Roman"/>
          <w:b w:val="false"/>
          <w:i/>
          <w:color w:val="000000"/>
          <w:sz w:val="22"/>
        </w:rPr>
        <w:t xml:space="preserve">Precedence of eligibility lists. </w:t>
      </w:r>
      <w:r>
        <w:rPr>
          <w:rFonts w:ascii="Times New Roman" w:hAnsi="Times New Roman"/>
          <w:b w:val="false"/>
          <w:i w:val="false"/>
          <w:color w:val="000000"/>
          <w:sz w:val="22"/>
        </w:rPr>
        <w:t>Recall lists will supersede other applicants.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0418D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81.3.21.pdf" Type="http://schemas.openxmlformats.org/officeDocument/2006/relationships/hyperlink" Id="rId4"/>
    <Relationship TargetMode="External" Target="https://www.legis.iowa.gov/docs/iac/rule/681.3.26.pdf" Type="http://schemas.openxmlformats.org/officeDocument/2006/relationships/hyperlink" Id="rId5"/>
    <Relationship TargetMode="External" Target="https://www.legis.iowa.gov/docs/iac/rule/681.3.18.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