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681—3.19</w:t>
      </w:r>
      <w:r>
        <w:rPr>
          <w:rFonts w:ascii="Times New Roman" w:hAnsi="Times New Roman"/>
          <w:b/>
          <w:i w:val="false"/>
          <w:color w:val="000000"/>
          <w:sz w:val="22"/>
        </w:rPr>
        <w:t xml:space="preserve">(8A) </w:t>
      </w:r>
      <w:r>
        <w:rPr>
          <w:rFonts w:ascii="Times New Roman" w:hAnsi="Times New Roman"/>
          <w:b/>
          <w:i w:val="false"/>
          <w:color w:val="000000"/>
          <w:sz w:val="22"/>
        </w:rPr>
        <w:t xml:space="preserve">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color w:val="000000"/>
          <w:sz w:val="22"/>
        </w:rPr>
        <w:t xml:space="preserve">Reassignments. </w:t>
      </w:r>
      <w:r>
        <w:rPr>
          <w:rFonts w:ascii="Times New Roman" w:hAnsi="Times New Roman"/>
          <w:b w:val="false"/>
          <w:i w:val="false"/>
          <w:color w:val="000000"/>
          <w:sz w:val="22"/>
        </w:rPr>
        <w:t>An employee, with the approval of the resident director, may be reassigned at any time from one position to another in the same class within an institution, except that a probationary employee who is certified to fill the employee’s position on the basis of special qualifications will not be reassigned unless the new position requires the same special qualifications that justified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color w:val="000000"/>
          <w:sz w:val="22"/>
        </w:rPr>
        <w:t xml:space="preserve">Special assignment. </w:t>
      </w:r>
      <w:r>
        <w:rPr>
          <w:rFonts w:ascii="Times New Roman" w:hAnsi="Times New Roman"/>
          <w:b w:val="false"/>
          <w:i w:val="false"/>
          <w:color w:val="000000"/>
          <w:sz w:val="22"/>
        </w:rPr>
        <w:t xml:space="preserve">When the services of an employee are temporarily needed in a position in the same or a different class within the institution other than the position to which the employee is assigned, the employee may be given a special assignment, with the prior approval of the resident director and involved departments, to perform the duties of such position for a period not to exceed six months without a change in title or status. In unusual circumstances, an extension of a special assignment for no more than one additional six-month period may be approved by the merit system director on written request from the resident director. Employees will be paid for a special assignment in accordance with subrule </w:t>
      </w:r>
      <w:hyperlink r:id="rId4">
        <w:r>
          <w:rPr>
            <w:rStyle w:val="Hyperlink"/>
            <w:rFonts w:ascii="Times New Roman" w:hAnsi="Times New Roman"/>
            <w:b w:val="false"/>
            <w:i w:val="false"/>
            <w:color w:val="000000"/>
            <w:sz w:val="22"/>
          </w:rPr>
          <w:t>3.8(6)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3.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