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681—3.16</w:t>
      </w:r>
      <w:r>
        <w:rPr>
          <w:rFonts w:ascii="Times New Roman" w:hAnsi="Times New Roman"/>
          <w:b/>
          <w:i w:val="false"/>
          <w:color w:val="000000"/>
          <w:sz w:val="22"/>
        </w:rPr>
        <w:t xml:space="preserve">(8A) </w:t>
      </w:r>
      <w:r>
        <w:rPr>
          <w:rFonts w:ascii="Times New Roman" w:hAnsi="Times New Roman"/>
          <w:b/>
          <w:i w:val="false"/>
          <w:color w:val="000000"/>
          <w:sz w:val="22"/>
        </w:rPr>
        <w:t xml:space="preserve">Term appointment. </w:t>
      </w:r>
      <w:r>
        <w:rPr>
          <w:rFonts w:ascii="Times New Roman" w:hAnsi="Times New Roman"/>
          <w:b w:val="false"/>
          <w:i w:val="false"/>
          <w:color w:val="000000"/>
          <w:sz w:val="22"/>
        </w:rPr>
        <w:t>When it is known that a particular job, project, grant or contract will require the services of an employee for a limited duration or where funding must be renewed periodically, a term appointment may be made. The initial appointment will not be made for more than two years. Renewals beyond two years may be approved by the resident director on the basis of funding availability or institutional limits on term appointments.</w:t>
      </w:r>
    </w:p>
    <w:p>
      <w:pPr>
        <w:spacing w:before="0" w:after="0"/>
        <w:ind w:left="120"/>
        <w:jc w:val="both"/>
      </w:pPr>
      <w:r>
        <w:rPr>
          <w:rFonts w:ascii="Times New Roman" w:hAnsi="Times New Roman"/>
          <w:b w:val="false"/>
          <w:i w:val="false"/>
          <w:color w:val="000000"/>
          <w:sz w:val="22"/>
        </w:rPr>
        <w:t>Employees on a term appointment are subject to a probationary period. An employee on term appointment subsequently hired as a regular employee in the same classification is not required to complete an additional probationary period.</w:t>
      </w:r>
    </w:p>
    <w:p>
      <w:pPr>
        <w:spacing w:before="0" w:after="0"/>
        <w:ind w:left="120"/>
        <w:jc w:val="both"/>
      </w:pPr>
      <w:r>
        <w:rPr>
          <w:rFonts w:ascii="Times New Roman" w:hAnsi="Times New Roman"/>
          <w:b w:val="false"/>
          <w:i w:val="false"/>
          <w:color w:val="000000"/>
          <w:sz w:val="22"/>
        </w:rPr>
        <w:t xml:space="preserve">Such appointments will not confer to the individual any right of position, transfer, demotion, promotion, or recall, but incumbents shall be eligible for vacation and sick leave, except that a term appointment made for less than 1,040 hours will be considered a temporary appointment under rule </w:t>
      </w:r>
      <w:hyperlink r:id="rId4">
        <w:r>
          <w:rPr>
            <w:rStyle w:val="Hyperlink"/>
            <w:rFonts w:ascii="Times New Roman" w:hAnsi="Times New Roman"/>
            <w:b w:val="false"/>
            <w:i w:val="false"/>
            <w:color w:val="000000"/>
            <w:sz w:val="22"/>
          </w:rPr>
          <w:t>681—3.14</w:t>
        </w:r>
      </w:hyperlink>
      <w:r>
        <w:rPr>
          <w:rFonts w:ascii="Times New Roman" w:hAnsi="Times New Roman"/>
          <w:b w:val="false"/>
          <w:i w:val="false"/>
          <w:color w:val="000000"/>
          <w:sz w:val="22"/>
        </w:rPr>
        <w:t>(8A) without conferring rights or eligibility for vacation or sick leave.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81.3.14.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