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681—3.15</w:t>
      </w:r>
      <w:r>
        <w:rPr>
          <w:rFonts w:ascii="Times New Roman" w:hAnsi="Times New Roman"/>
          <w:b/>
          <w:i w:val="false"/>
          <w:color w:val="000000"/>
          <w:sz w:val="22"/>
        </w:rPr>
        <w:t xml:space="preserve">(8A) </w:t>
      </w:r>
      <w:r>
        <w:rPr>
          <w:rFonts w:ascii="Times New Roman" w:hAnsi="Times New Roman"/>
          <w:b/>
          <w:i w:val="false"/>
          <w:color w:val="000000"/>
          <w:sz w:val="22"/>
        </w:rPr>
        <w:t xml:space="preserve">Trainee or apprentice appointment. </w:t>
      </w:r>
      <w:r>
        <w:rPr>
          <w:rFonts w:ascii="Times New Roman" w:hAnsi="Times New Roman"/>
          <w:b w:val="false"/>
          <w:i w:val="false"/>
          <w:color w:val="000000"/>
          <w:sz w:val="22"/>
        </w:rPr>
        <w:t>With the approval of the resident director, an institution may advertise a position for a classification designated for trainees or apprentices. When so designated, applicants do not need to meet the minimum qualifications of the classification for permanent appointment. The purpose of the program is to develop the trainee or apprentice to obtain the necessary knowledge, skills, and abilities to perform the work and to meet the minimum qualifications for the classification. At the conclusion of the designated training period or apprenticeship program, the employee must be able to satisfactorily perform the duties and meet the minimum qualifications to move into the regular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