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681—3.13</w:t>
      </w:r>
      <w:r>
        <w:rPr>
          <w:rFonts w:ascii="Times New Roman" w:hAnsi="Times New Roman"/>
          <w:b/>
          <w:i w:val="false"/>
          <w:color w:val="000000"/>
          <w:sz w:val="22"/>
        </w:rPr>
        <w:t xml:space="preserve">(8A) </w:t>
      </w:r>
      <w:r>
        <w:rPr>
          <w:rFonts w:ascii="Times New Roman" w:hAnsi="Times New Roman"/>
          <w:b/>
          <w:i w:val="false"/>
          <w:color w:val="000000"/>
          <w:sz w:val="22"/>
        </w:rPr>
        <w:t xml:space="preserve">Appointments. </w:t>
      </w:r>
      <w:r>
        <w:rPr>
          <w:rFonts w:ascii="Times New Roman" w:hAnsi="Times New Roman"/>
          <w:b w:val="false"/>
          <w:i w:val="false"/>
          <w:color w:val="000000"/>
          <w:sz w:val="22"/>
        </w:rPr>
        <w:t>All appointments under this system will be made in accordance with all federal and state laws and the provisions of these rules, including those concerning certification and selection unless otherwise specified.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