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681—3.11</w:t>
      </w:r>
      <w:r>
        <w:rPr>
          <w:rFonts w:ascii="Times New Roman" w:hAnsi="Times New Roman"/>
          <w:b/>
          <w:i w:val="false"/>
          <w:color w:val="000000"/>
          <w:sz w:val="22"/>
        </w:rPr>
        <w:t xml:space="preserve">(8A) </w:t>
      </w:r>
      <w:r>
        <w:rPr>
          <w:rFonts w:ascii="Times New Roman" w:hAnsi="Times New Roman"/>
          <w:b/>
          <w:i w:val="false"/>
          <w:color w:val="000000"/>
          <w:sz w:val="22"/>
        </w:rPr>
        <w:t xml:space="preserve">Nature of evaluations. </w:t>
      </w:r>
      <w:r>
        <w:rPr>
          <w:rFonts w:ascii="Times New Roman" w:hAnsi="Times New Roman"/>
          <w:b w:val="false"/>
          <w:i w:val="false"/>
          <w:color w:val="000000"/>
          <w:sz w:val="22"/>
        </w:rPr>
        <w:t>Applicant evaluations may screen for such factors as education, experience, aptitude, knowledge, character, physical fitness, or other qualifications or attributes that enter into the determination of the relative qualification of applicants. The evaluation process must align with federal or state laws and must be approved by each institution’s resident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