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681—3.10</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Applicant evaluations. </w:t>
      </w:r>
      <w:r>
        <w:rPr>
          <w:rFonts w:ascii="Times New Roman" w:hAnsi="Times New Roman"/>
          <w:b w:val="false"/>
          <w:i w:val="false"/>
          <w:color w:val="000000"/>
          <w:sz w:val="22"/>
        </w:rPr>
        <w:t>Evaluations will be practical in nature, will be constructed to reveal the capacity to successfully perform the job for which the applicant is competing, will be rated objectively, and will be pursuant to federal or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