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681—17.15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records. Agendas, minutes, and materials presented to the state board of regents are available from the office of the state board of regents, except those records concerning closed sessions which are confidential under Iowa Code section </w:t>
      </w:r>
      <w:hyperlink r:id="rId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and other provisions of law. Board records contain information about people who participate in meetings.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agency programs are available through the institutions’ office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17.15(5)</w:t>
      </w:r>
      <w:r>
        <w:rPr>
          <w:rFonts w:ascii="Times New Roman" w:hAnsi="Times New Roman"/>
          <w:b w:val="false"/>
          <w:i w:val="false"/>
          <w:color w:val="000000"/>
          <w:sz w:val="22"/>
        </w:rPr>
        <w:t> </w:t>
      </w:r>
      <w:r>
        <w:rPr>
          <w:rFonts w:ascii="Times New Roman" w:hAnsi="Times New Roman"/>
          <w:b w:val="false"/>
          <w:i w:val="false"/>
          <w:color w:val="000000"/>
          <w:sz w:val="22"/>
        </w:rPr>
        <w:t>Grants. Records on persons receiving grants are available through the institutions’ offices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every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agency maintains a variety of records which do not generally contain information pertaining to named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17.15(9)</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17.15(10)</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17.1.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1.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