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681—17.14</w:t>
      </w:r>
      <w:r>
        <w:rPr>
          <w:rFonts w:ascii="Times New Roman" w:hAnsi="Times New Roman"/>
          <w:b/>
          <w:i w:val="false"/>
          <w:color w:val="000000"/>
          <w:sz w:val="22"/>
        </w:rPr>
        <w:t xml:space="preserve">(22)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w:t>
      </w:r>
      <w:hyperlink r:id="rId4">
        <w:r>
          <w:rPr>
            <w:rStyle w:val="Hyperlink"/>
            <w:rFonts w:ascii="Times New Roman" w:hAnsi="Times New Roman"/>
            <w:b w:val="false"/>
            <w:i w:val="false"/>
            <w:color w:val="000000"/>
            <w:sz w:val="22"/>
          </w:rPr>
          <w:t>rule 17.1(22)</w:t>
        </w:r>
      </w:hyperlink>
      <w:r>
        <w:rPr>
          <w:rFonts w:ascii="Times New Roman" w:hAnsi="Times New Roman"/>
          <w:b w:val="false"/>
          <w:i w:val="false"/>
          <w:color w:val="000000"/>
          <w:sz w:val="22"/>
        </w:rPr>
        <w:t>.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17.14(1)</w:t>
      </w:r>
      <w:r>
        <w:rPr>
          <w:rFonts w:ascii="Times New Roman" w:hAnsi="Times New Roman"/>
          <w:b w:val="false"/>
          <w:i w:val="false"/>
          <w:color w:val="000000"/>
          <w:sz w:val="22"/>
        </w:rPr>
        <w:t> </w:t>
      </w:r>
      <w:r>
        <w:rPr>
          <w:rFonts w:ascii="Times New Roman" w:hAnsi="Times New Roman"/>
          <w:b w:val="false"/>
          <w:i/>
          <w:color w:val="000000"/>
          <w:sz w:val="22"/>
        </w:rPr>
        <w:t xml:space="preserve">State board of regents. </w:t>
      </w:r>
      <w:r>
        <w:rPr>
          <w:rFonts w:ascii="Times New Roman" w:hAnsi="Times New Roman"/>
          <w:b w:val="false"/>
          <w:i w:val="false"/>
          <w:color w:val="000000"/>
          <w:sz w:val="22"/>
        </w:rPr>
        <w:t xml:space="preserve">Personnel and employment management information systems. The above listed records system is collected pursuant to the authority of Iowa Code chapter </w:t>
      </w:r>
      <w:hyperlink r:id="rId5">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Storage is in paper form and information cannot be matched, collated and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17.14(2)</w:t>
      </w:r>
      <w:r>
        <w:rPr>
          <w:rFonts w:ascii="Times New Roman" w:hAnsi="Times New Roman"/>
          <w:b w:val="false"/>
          <w:i w:val="false"/>
          <w:color w:val="000000"/>
          <w:sz w:val="22"/>
        </w:rPr>
        <w:t> </w:t>
      </w:r>
      <w:r>
        <w:rPr>
          <w:rFonts w:ascii="Times New Roman" w:hAnsi="Times New Roman"/>
          <w:b w:val="false"/>
          <w:i/>
          <w:color w:val="000000"/>
          <w:sz w:val="22"/>
        </w:rPr>
        <w:t xml:space="preserve">State University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Payroll and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Professional and scientific employees—employment status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General service staff employment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Faculty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Student record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Student aid resource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Gifts and grants information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Annual budget line entry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Student admission information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Patient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Hospital management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Purchasing office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Construction/jobs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Event ticket sales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Motor pool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Residence halls management systems</w:t>
      </w:r>
    </w:p>
    <w:p>
      <w:pPr>
        <w:spacing w:before="0" w:after="0"/>
        <w:ind w:left="120"/>
        <w:jc w:val="both"/>
      </w:pPr>
      <w:r>
        <w:rPr>
          <w:rFonts w:ascii="Times New Roman" w:hAnsi="Times New Roman"/>
          <w:b w:val="false"/>
          <w:i w:val="false"/>
          <w:color w:val="000000"/>
          <w:sz w:val="22"/>
        </w:rPr>
        <w:t xml:space="preserve">All of the above listed records are collected pursuant to the authority of Iowa Code chapters </w:t>
      </w:r>
      <w:hyperlink r:id="rId6">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262A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263</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263A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271</w:t>
        </w:r>
      </w:hyperlink>
      <w:r>
        <w:rPr>
          <w:rFonts w:ascii="Times New Roman" w:hAnsi="Times New Roman"/>
          <w:b w:val="false"/>
          <w:i w:val="false"/>
          <w:color w:val="000000"/>
          <w:sz w:val="22"/>
        </w:rPr>
        <w:t xml:space="preserve">. All are stored in electronic form. Supplementary records in these categories are stored in paper form or on microfilm or microfiche. Information in categories lettered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xml:space="preserve"> can be matched, collated, and compared. Information in categories lettered </w:t>
      </w:r>
      <w:r>
        <w:rPr>
          <w:rFonts w:ascii="Times New Roman" w:hAnsi="Times New Roman"/>
          <w:b w:val="false"/>
          <w:i/>
          <w:color w:val="000000"/>
          <w:sz w:val="22"/>
        </w:rPr>
        <w:t>“j”</w:t>
      </w:r>
      <w:r>
        <w:rPr>
          <w:rFonts w:ascii="Times New Roman" w:hAnsi="Times New Roman"/>
          <w:b w:val="false"/>
          <w:i w:val="false"/>
          <w:color w:val="000000"/>
          <w:sz w:val="22"/>
        </w:rPr>
        <w:t xml:space="preserve"> and </w:t>
      </w:r>
      <w:r>
        <w:rPr>
          <w:rFonts w:ascii="Times New Roman" w:hAnsi="Times New Roman"/>
          <w:b w:val="false"/>
          <w:i/>
          <w:color w:val="000000"/>
          <w:sz w:val="22"/>
        </w:rPr>
        <w:t>“k”</w:t>
      </w:r>
      <w:r>
        <w:rPr>
          <w:rFonts w:ascii="Times New Roman" w:hAnsi="Times New Roman"/>
          <w:b w:val="false"/>
          <w:i w:val="false"/>
          <w:color w:val="000000"/>
          <w:sz w:val="22"/>
        </w:rPr>
        <w:t xml:space="preserve"> can be matched, collated, and compared. Information in categories lettered </w:t>
      </w:r>
      <w:r>
        <w:rPr>
          <w:rFonts w:ascii="Times New Roman" w:hAnsi="Times New Roman"/>
          <w:b w:val="false"/>
          <w:i/>
          <w:color w:val="000000"/>
          <w:sz w:val="22"/>
        </w:rPr>
        <w:t>“l”</w:t>
      </w:r>
      <w:r>
        <w:rPr>
          <w:rFonts w:ascii="Times New Roman" w:hAnsi="Times New Roman"/>
          <w:b w:val="false"/>
          <w:i w:val="false"/>
          <w:color w:val="000000"/>
          <w:sz w:val="22"/>
        </w:rPr>
        <w:t xml:space="preserve"> through </w:t>
      </w:r>
      <w:r>
        <w:rPr>
          <w:rFonts w:ascii="Times New Roman" w:hAnsi="Times New Roman"/>
          <w:b w:val="false"/>
          <w:i/>
          <w:color w:val="000000"/>
          <w:sz w:val="22"/>
        </w:rPr>
        <w:t>“p”</w:t>
      </w:r>
      <w:r>
        <w:rPr>
          <w:rFonts w:ascii="Times New Roman" w:hAnsi="Times New Roman"/>
          <w:b w:val="false"/>
          <w:i w:val="false"/>
          <w:color w:val="000000"/>
          <w:sz w:val="22"/>
        </w:rPr>
        <w:t xml:space="preserve"> cannot be matched, collated, and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17.14(3)</w:t>
      </w:r>
      <w:r>
        <w:rPr>
          <w:rFonts w:ascii="Times New Roman" w:hAnsi="Times New Roman"/>
          <w:b w:val="false"/>
          <w:i w:val="false"/>
          <w:color w:val="000000"/>
          <w:sz w:val="22"/>
        </w:rPr>
        <w:t> </w:t>
      </w:r>
      <w:r>
        <w:rPr>
          <w:rFonts w:ascii="Times New Roman" w:hAnsi="Times New Roman"/>
          <w:b w:val="false"/>
          <w:i/>
          <w:color w:val="000000"/>
          <w:sz w:val="22"/>
        </w:rPr>
        <w:t xml:space="preserve">Iowa State University of science and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 information system, for example, biographical, academic, housing, financial aid and admissions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information system, for example, biographical, employment, payroll and budget information for the faculty, professional and scientific and merit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Accounting information system, for example, accounts receivable, accounts payable, budget system, gifts and grants, and contracts and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Telecommunications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Miscellaneous information systems, for example, transportation services, media resources, information service biographical files, affirmative action, travel, traffic and library circulation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Veterinary diagnostic laboratory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University extension system, for example, continuing education units, and plant pathology, horticulture, seed and soil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Patient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Medical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Purchasing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Police records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Parking systems registration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Alumni records and event ticket sales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State board of regents registered bonds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Project/construction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Facilities and maintenance information systems</w:t>
      </w:r>
    </w:p>
    <w:p>
      <w:pPr>
        <w:spacing w:before="0" w:after="0"/>
        <w:ind w:left="120"/>
        <w:jc w:val="both"/>
      </w:pPr>
      <w:r>
        <w:rPr>
          <w:rFonts w:ascii="Times New Roman" w:hAnsi="Times New Roman"/>
          <w:b w:val="false"/>
          <w:i w:val="false"/>
          <w:color w:val="000000"/>
          <w:sz w:val="22"/>
        </w:rPr>
        <w:t xml:space="preserve">All of the above listed records are collected pursuant to the authority of Iowa Code chapters </w:t>
      </w:r>
      <w:hyperlink r:id="rId11">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262A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266</w:t>
        </w:r>
      </w:hyperlink>
      <w:r>
        <w:rPr>
          <w:rFonts w:ascii="Times New Roman" w:hAnsi="Times New Roman"/>
          <w:b w:val="false"/>
          <w:i w:val="false"/>
          <w:color w:val="000000"/>
          <w:sz w:val="22"/>
        </w:rPr>
        <w:t xml:space="preserve">. All are stored in electronic form, except categories lettered </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which are stored in hard copy form. Duplicate information or copies of the electronically stored information may be found in some cases on microfilm, microfiche or hard copy. Information in categories lettered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 xml:space="preserve">“e,” “g,” “j,” “l,”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“m” </w:t>
      </w:r>
      <w:r>
        <w:rPr>
          <w:rFonts w:ascii="Times New Roman" w:hAnsi="Times New Roman"/>
          <w:b w:val="false"/>
          <w:i w:val="false"/>
          <w:color w:val="000000"/>
          <w:sz w:val="22"/>
        </w:rPr>
        <w:t xml:space="preserve">can be matched, collated, and compared. Information in categories </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can be matched, collated, and compared only with accounts receivable (see category </w:t>
      </w:r>
      <w:r>
        <w:rPr>
          <w:rFonts w:ascii="Times New Roman" w:hAnsi="Times New Roman"/>
          <w:b w:val="false"/>
          <w:i/>
          <w:color w:val="000000"/>
          <w:sz w:val="22"/>
        </w:rPr>
        <w:t>“c”</w:t>
      </w:r>
      <w:r>
        <w:rPr>
          <w:rFonts w:ascii="Times New Roman" w:hAnsi="Times New Roman"/>
          <w:b w:val="false"/>
          <w:i w:val="false"/>
          <w:color w:val="000000"/>
          <w:sz w:val="22"/>
        </w:rPr>
        <w:t>). The remaining categories cannot be matched, collated, or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17.14(4)</w:t>
      </w:r>
      <w:r>
        <w:rPr>
          <w:rFonts w:ascii="Times New Roman" w:hAnsi="Times New Roman"/>
          <w:b w:val="false"/>
          <w:i w:val="false"/>
          <w:color w:val="000000"/>
          <w:sz w:val="22"/>
        </w:rPr>
        <w:t> </w:t>
      </w:r>
      <w:r>
        <w:rPr>
          <w:rFonts w:ascii="Times New Roman" w:hAnsi="Times New Roman"/>
          <w:b w:val="false"/>
          <w:i/>
          <w:color w:val="000000"/>
          <w:sz w:val="22"/>
        </w:rPr>
        <w:t xml:space="preserve">University of Northern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Academic achievement center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Academic advising examination services/orientation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Academic computing center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Accounts receivable/payable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Admissions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Affirmative action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Alumni foundation/development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Architect/planning/engineering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Athletic department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Budget management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College of education/school of business advising center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Continuing education/correspondence/extension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Financial aid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Grants and contracts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Housing/dining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Library/archives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Personnel/budget/payroll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Physical plant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Purchasing/inventory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School of business division of external services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Student information systems (student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Student union/student activities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Academic affairs information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Ancillary services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Counseling/health/pharmacy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Deans/department heads/faculty advisors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Handicapped services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Institutional officials 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Institutional research records systems including social/behavioral research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Operations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Placement/career center/cooperative education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Price laboratory management/records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Public safety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Small business assistance center (hazardous waste)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Special events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Speech/hearing/reading clinics 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ak.</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Student field experience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United faculty 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UNISA records systems #</w:t>
      </w:r>
    </w:p>
    <w:p>
      <w:pPr>
        <w:spacing w:before="0" w:after="0"/>
        <w:ind w:left="120"/>
        <w:jc w:val="both"/>
      </w:pPr>
      <w:r>
        <w:rPr>
          <w:rFonts w:ascii="Times New Roman" w:hAnsi="Times New Roman"/>
          <w:b w:val="false"/>
          <w:i w:val="false"/>
          <w:color w:val="000000"/>
          <w:sz w:val="22"/>
        </w:rPr>
        <w:t xml:space="preserve">All of the above listed records systems are collected pursuant to the authority of Iowa Code chapters </w:t>
      </w:r>
      <w:hyperlink r:id="rId14">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262A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265</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268</w:t>
        </w:r>
      </w:hyperlink>
      <w:r>
        <w:rPr>
          <w:rFonts w:ascii="Times New Roman" w:hAnsi="Times New Roman"/>
          <w:b w:val="false"/>
          <w:i w:val="false"/>
          <w:color w:val="000000"/>
          <w:sz w:val="22"/>
        </w:rPr>
        <w:t>. Means of storage include electronic unless otherwise noted. Moreover, some records may also be stored in micrographic or paper forms. All or parts of information in each system may be matched, collated, and compared except for those systems noted by an asterisk (*).</w:t>
      </w:r>
    </w:p>
    <w:p>
      <w:pPr>
        <w:spacing w:before="0" w:after="0"/>
        <w:ind w:left="120"/>
        <w:jc w:val="both"/>
      </w:pPr>
      <w:r>
        <w:rPr>
          <w:rFonts w:ascii="Times New Roman" w:hAnsi="Times New Roman"/>
          <w:b w:val="false"/>
          <w:i w:val="false"/>
          <w:color w:val="000000"/>
          <w:sz w:val="22"/>
        </w:rPr>
        <w:t># Storage in paper or micrographic form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17.14(5)</w:t>
      </w:r>
      <w:r>
        <w:rPr>
          <w:rFonts w:ascii="Times New Roman" w:hAnsi="Times New Roman"/>
          <w:b w:val="false"/>
          <w:i w:val="false"/>
          <w:color w:val="000000"/>
          <w:sz w:val="22"/>
        </w:rPr>
        <w:t> </w:t>
      </w:r>
      <w:r>
        <w:rPr>
          <w:rFonts w:ascii="Times New Roman" w:hAnsi="Times New Roman"/>
          <w:b w:val="false"/>
          <w:i/>
          <w:color w:val="000000"/>
          <w:sz w:val="22"/>
        </w:rPr>
        <w:t xml:space="preserve">Iowa School for the Deaf.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Academic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Business—payroll and purchasing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Personnel</w:t>
      </w:r>
    </w:p>
    <w:p>
      <w:pPr>
        <w:spacing w:before="0" w:after="0"/>
        <w:ind w:left="120"/>
        <w:jc w:val="both"/>
      </w:pPr>
      <w:r>
        <w:rPr>
          <w:rFonts w:ascii="Times New Roman" w:hAnsi="Times New Roman"/>
          <w:b w:val="false"/>
          <w:i w:val="false"/>
          <w:color w:val="000000"/>
          <w:sz w:val="22"/>
        </w:rPr>
        <w:t xml:space="preserve">All of the above listed records, in whole or in part, are maintained on paper and in electronic form. The records stored in electronic form for systems </w:t>
      </w:r>
      <w:r>
        <w:rPr>
          <w:rFonts w:ascii="Times New Roman" w:hAnsi="Times New Roman"/>
          <w:b w:val="false"/>
          <w:i/>
          <w:color w:val="000000"/>
          <w:sz w:val="22"/>
        </w:rPr>
        <w:t xml:space="preserve">“a,” “b,” “d,” </w:t>
      </w:r>
      <w:r>
        <w:rPr>
          <w:rFonts w:ascii="Times New Roman" w:hAnsi="Times New Roman"/>
          <w:b w:val="false"/>
          <w:i w:val="false"/>
          <w:color w:val="000000"/>
          <w:sz w:val="22"/>
        </w:rPr>
        <w:t xml:space="preserve">and </w:t>
      </w:r>
      <w:r>
        <w:rPr>
          <w:rFonts w:ascii="Times New Roman" w:hAnsi="Times New Roman"/>
          <w:b w:val="false"/>
          <w:i/>
          <w:color w:val="000000"/>
          <w:sz w:val="22"/>
        </w:rPr>
        <w:t xml:space="preserve">“e” </w:t>
      </w:r>
      <w:r>
        <w:rPr>
          <w:rFonts w:ascii="Times New Roman" w:hAnsi="Times New Roman"/>
          <w:b w:val="false"/>
          <w:i w:val="false"/>
          <w:color w:val="000000"/>
          <w:sz w:val="22"/>
        </w:rPr>
        <w:t xml:space="preserve">can be matched, collated, and compared. Records stored in electronic form for system </w:t>
      </w:r>
      <w:r>
        <w:rPr>
          <w:rFonts w:ascii="Times New Roman" w:hAnsi="Times New Roman"/>
          <w:b w:val="false"/>
          <w:i/>
          <w:color w:val="000000"/>
          <w:sz w:val="22"/>
        </w:rPr>
        <w:t xml:space="preserve">“c” </w:t>
      </w:r>
      <w:r>
        <w:rPr>
          <w:rFonts w:ascii="Times New Roman" w:hAnsi="Times New Roman"/>
          <w:b w:val="false"/>
          <w:i w:val="false"/>
          <w:color w:val="000000"/>
          <w:sz w:val="22"/>
        </w:rPr>
        <w:t xml:space="preserve">cannot be matched, collated or compared to any other of the systems. All of the above listed records are collected pursuant to the authority of Iowa Code chapters </w:t>
      </w:r>
      <w:hyperlink r:id="rId18">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17.14(6)</w:t>
      </w:r>
      <w:r>
        <w:rPr>
          <w:rFonts w:ascii="Times New Roman" w:hAnsi="Times New Roman"/>
          <w:b w:val="false"/>
          <w:i w:val="false"/>
          <w:color w:val="000000"/>
          <w:sz w:val="22"/>
        </w:rPr>
        <w:t> </w:t>
      </w:r>
      <w:r>
        <w:rPr>
          <w:rFonts w:ascii="Times New Roman" w:hAnsi="Times New Roman"/>
          <w:b w:val="false"/>
          <w:i/>
          <w:color w:val="000000"/>
          <w:sz w:val="22"/>
        </w:rPr>
        <w:t xml:space="preserve">Iowa Braille and Sight Saving School.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Payroll and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Faculty and administrative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Financial accounting data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Student record information system (academic and medical)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Annual budget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Evaluation report system for all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Consultative reports completed for other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Gifts and grants record keeping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State large print orders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State lend/lease depository system</w:t>
      </w:r>
    </w:p>
    <w:p>
      <w:pPr>
        <w:spacing w:before="0" w:after="0"/>
        <w:ind w:left="120"/>
        <w:jc w:val="both"/>
      </w:pPr>
      <w:r>
        <w:rPr>
          <w:rFonts w:ascii="Times New Roman" w:hAnsi="Times New Roman"/>
          <w:b w:val="false"/>
          <w:i w:val="false"/>
          <w:color w:val="000000"/>
          <w:sz w:val="22"/>
        </w:rPr>
        <w:t xml:space="preserve">Records in </w:t>
      </w:r>
      <w:r>
        <w:rPr>
          <w:rFonts w:ascii="Times New Roman" w:hAnsi="Times New Roman"/>
          <w:b w:val="false"/>
          <w:i/>
          <w:color w:val="000000"/>
          <w:sz w:val="22"/>
        </w:rPr>
        <w:t>“a,” “c,”</w:t>
      </w:r>
      <w:r>
        <w:rPr>
          <w:rFonts w:ascii="Times New Roman" w:hAnsi="Times New Roman"/>
          <w:b w:val="false"/>
          <w:i w:val="false"/>
          <w:color w:val="000000"/>
          <w:sz w:val="22"/>
        </w:rPr>
        <w:t xml:space="preserve"> and </w:t>
      </w:r>
      <w:r>
        <w:rPr>
          <w:rFonts w:ascii="Times New Roman" w:hAnsi="Times New Roman"/>
          <w:b w:val="false"/>
          <w:i/>
          <w:color w:val="000000"/>
          <w:sz w:val="22"/>
        </w:rPr>
        <w:t xml:space="preserve">“e” </w:t>
      </w:r>
      <w:r>
        <w:rPr>
          <w:rFonts w:ascii="Times New Roman" w:hAnsi="Times New Roman"/>
          <w:b w:val="false"/>
          <w:i w:val="false"/>
          <w:color w:val="000000"/>
          <w:sz w:val="22"/>
        </w:rPr>
        <w:t xml:space="preserve">are stored in electronic form and can be matched, collated, and compared. Records in </w:t>
      </w:r>
      <w:r>
        <w:rPr>
          <w:rFonts w:ascii="Times New Roman" w:hAnsi="Times New Roman"/>
          <w:b w:val="false"/>
          <w:i/>
          <w:color w:val="000000"/>
          <w:sz w:val="22"/>
        </w:rPr>
        <w:t>“b,” “d,”</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r>
        <w:rPr>
          <w:rFonts w:ascii="Times New Roman" w:hAnsi="Times New Roman"/>
          <w:b w:val="false"/>
          <w:i w:val="false"/>
          <w:color w:val="000000"/>
          <w:sz w:val="22"/>
        </w:rPr>
        <w:t xml:space="preserve"> are stored on paper and cannot be matched, collated, or compared. All of the above listed records are collected pursuant to the authority of Iowa Code chapters </w:t>
      </w:r>
      <w:hyperlink r:id="rId20">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262A</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269</w:t>
        </w:r>
      </w:hyperlink>
      <w:r>
        <w:rPr>
          <w:rFonts w:ascii="Times New Roman" w:hAnsi="Times New Roman"/>
          <w:b w:val="false"/>
          <w:i w:val="false"/>
          <w:color w:val="000000"/>
          <w:sz w:val="22"/>
        </w:rPr>
        <w:t>.</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81.17.1.pdf" Type="http://schemas.openxmlformats.org/officeDocument/2006/relationships/hyperlink" Id="rId4"/>
    <Relationship TargetMode="External" Target="https://www.legis.iowa.gov/docs/ico/chapter/262.pdf" Type="http://schemas.openxmlformats.org/officeDocument/2006/relationships/hyperlink" Id="rId5"/>
    <Relationship TargetMode="External" Target="https://www.legis.iowa.gov/docs/ico/chapter/262.pdf" Type="http://schemas.openxmlformats.org/officeDocument/2006/relationships/hyperlink" Id="rId6"/>
    <Relationship TargetMode="External" Target="https://www.legis.iowa.gov/docs/ico/chapter/262A.pdf" Type="http://schemas.openxmlformats.org/officeDocument/2006/relationships/hyperlink" Id="rId7"/>
    <Relationship TargetMode="External" Target="https://www.legis.iowa.gov/docs/ico/chapter/263.pdf" Type="http://schemas.openxmlformats.org/officeDocument/2006/relationships/hyperlink" Id="rId8"/>
    <Relationship TargetMode="External" Target="https://www.legis.iowa.gov/docs/ico/chapter/263A.pdf" Type="http://schemas.openxmlformats.org/officeDocument/2006/relationships/hyperlink" Id="rId9"/>
    <Relationship TargetMode="External" Target="https://www.legis.iowa.gov/docs/ico/chapter/271.pdf" Type="http://schemas.openxmlformats.org/officeDocument/2006/relationships/hyperlink" Id="rId10"/>
    <Relationship TargetMode="External" Target="https://www.legis.iowa.gov/docs/ico/chapter/262.pdf" Type="http://schemas.openxmlformats.org/officeDocument/2006/relationships/hyperlink" Id="rId11"/>
    <Relationship TargetMode="External" Target="https://www.legis.iowa.gov/docs/ico/chapter/262A.pdf" Type="http://schemas.openxmlformats.org/officeDocument/2006/relationships/hyperlink" Id="rId12"/>
    <Relationship TargetMode="External" Target="https://www.legis.iowa.gov/docs/ico/chapter/266.pdf" Type="http://schemas.openxmlformats.org/officeDocument/2006/relationships/hyperlink" Id="rId13"/>
    <Relationship TargetMode="External" Target="https://www.legis.iowa.gov/docs/ico/chapter/262.pdf" Type="http://schemas.openxmlformats.org/officeDocument/2006/relationships/hyperlink" Id="rId14"/>
    <Relationship TargetMode="External" Target="https://www.legis.iowa.gov/docs/ico/chapter/262A.pdf" Type="http://schemas.openxmlformats.org/officeDocument/2006/relationships/hyperlink" Id="rId15"/>
    <Relationship TargetMode="External" Target="https://www.legis.iowa.gov/docs/ico/chapter/265.pdf" Type="http://schemas.openxmlformats.org/officeDocument/2006/relationships/hyperlink" Id="rId16"/>
    <Relationship TargetMode="External" Target="https://www.legis.iowa.gov/docs/ico/chapter/268.pdf" Type="http://schemas.openxmlformats.org/officeDocument/2006/relationships/hyperlink" Id="rId17"/>
    <Relationship TargetMode="External" Target="https://www.legis.iowa.gov/docs/ico/chapter/262.pdf" Type="http://schemas.openxmlformats.org/officeDocument/2006/relationships/hyperlink" Id="rId18"/>
    <Relationship TargetMode="External" Target="https://www.legis.iowa.gov/docs/ico/chapter/270.pdf" Type="http://schemas.openxmlformats.org/officeDocument/2006/relationships/hyperlink" Id="rId19"/>
    <Relationship TargetMode="External" Target="https://www.legis.iowa.gov/docs/ico/chapter/262.pdf" Type="http://schemas.openxmlformats.org/officeDocument/2006/relationships/hyperlink" Id="rId20"/>
    <Relationship TargetMode="External" Target="https://www.legis.iowa.gov/docs/ico/chapter/262A.pdf" Type="http://schemas.openxmlformats.org/officeDocument/2006/relationships/hyperlink" Id="rId21"/>
    <Relationship TargetMode="External" Target="https://www.legis.iowa.gov/docs/ico/chapter/269.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