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681—17.1</w:t>
      </w:r>
      <w:r>
        <w:rPr>
          <w:rFonts w:ascii="Times New Roman" w:hAnsi="Times New Roman"/>
          <w:b/>
          <w:i w:val="false"/>
          <w:color w:val="000000"/>
          <w:sz w:val="22"/>
        </w:rPr>
        <w:t xml:space="preserve">(22)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state board of regents and the institutions it governs—State University of Iowa, Iowa State University of science and technology, University of Northern Iowa, Iowa School for the Deaf, and Iowa Braille and Sight Saving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means the official delegated authority by the agency to release records or that official’s designee. Custodians are as follows: for the state board of regents, the executive director; for the State University of Iowa, the institutional secretary; for Iowa State University of science and technology, the institutional secretary; for the University of Northern Iowa, the institutional secretary; for Iowa School for the Deaf, the superintendent; and for Iowa Braille and Sight Saving School, the superintendent.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