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681—10.1</w:t>
      </w:r>
      <w:r>
        <w:rPr>
          <w:rFonts w:ascii="Times New Roman" w:hAnsi="Times New Roman"/>
          <w:b/>
          <w:i w:val="false"/>
          <w:color w:val="000000"/>
          <w:sz w:val="22"/>
        </w:rPr>
        <w:t xml:space="preserve">(305) </w:t>
      </w:r>
      <w:r>
        <w:rPr>
          <w:rFonts w:ascii="Times New Roman" w:hAnsi="Times New Roman"/>
          <w:b/>
          <w:i w:val="false"/>
          <w:color w:val="000000"/>
          <w:sz w:val="22"/>
        </w:rPr>
        <w:t xml:space="preserve">Records system. </w:t>
      </w:r>
      <w:r>
        <w:rPr>
          <w:rFonts w:ascii="Times New Roman" w:hAnsi="Times New Roman"/>
          <w:b w:val="false"/>
          <w:i w:val="false"/>
          <w:color w:val="000000"/>
          <w:sz w:val="22"/>
        </w:rPr>
        <w:t>The state board of regents’ office and each institution governed by the state board of regents shall develop internal procedures governing the management of records, which shall be made available for public inspection. Each system shall incorporate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records of transactions of the official business of the institution or state board of regents’ office, including design, handling, maintenance, filing, storage,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utilization of space,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Schedules for retention of records and the form in which they are to be retained, either in offices or archives.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Schedules for destruction of records and the method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Standards for reproduction of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0423D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61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