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681—1.5</w:t>
      </w:r>
      <w:r>
        <w:rPr>
          <w:rFonts w:ascii="Times New Roman" w:hAnsi="Times New Roman"/>
          <w:b/>
          <w:i w:val="false"/>
          <w:color w:val="000000"/>
          <w:sz w:val="22"/>
        </w:rPr>
        <w:t xml:space="preserve">(262) </w:t>
      </w:r>
      <w:r>
        <w:rPr>
          <w:rFonts w:ascii="Times New Roman" w:hAnsi="Times New Roman"/>
          <w:b/>
          <w:i w:val="false"/>
          <w:color w:val="000000"/>
          <w:sz w:val="22"/>
        </w:rPr>
        <w:t xml:space="preserve">Application fees. </w:t>
      </w:r>
      <w:r>
        <w:rPr>
          <w:rFonts w:ascii="Times New Roman" w:hAnsi="Times New Roman"/>
          <w:b w:val="false"/>
          <w:i w:val="false"/>
          <w:color w:val="000000"/>
          <w:sz w:val="22"/>
        </w:rPr>
        <w:t>Mandatory application fees for admission to the University of Iowa, Iowa State University and the University of Northern Iowa shall be approved by the state board of regents and shall be based on reasonable costs anticipated to be incurred by the institution in processing the application unless otherwise approved by the state board of regents.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2.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