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681—1.3</w:t>
      </w:r>
      <w:r>
        <w:rPr>
          <w:rFonts w:ascii="Times New Roman" w:hAnsi="Times New Roman"/>
          <w:b/>
          <w:i w:val="false"/>
          <w:color w:val="000000"/>
          <w:sz w:val="22"/>
        </w:rPr>
        <w:t xml:space="preserve">(262) </w:t>
      </w:r>
      <w:r>
        <w:rPr>
          <w:rFonts w:ascii="Times New Roman" w:hAnsi="Times New Roman"/>
          <w:b/>
          <w:i w:val="false"/>
          <w:color w:val="000000"/>
          <w:sz w:val="22"/>
        </w:rPr>
        <w:t xml:space="preserve">Transfer credit practices. </w:t>
      </w:r>
      <w:r>
        <w:rPr>
          <w:rFonts w:ascii="Times New Roman" w:hAnsi="Times New Roman"/>
          <w:b w:val="false"/>
          <w:i w:val="false"/>
          <w:color w:val="000000"/>
          <w:sz w:val="22"/>
        </w:rPr>
        <w:t>The acceptance and use of transfer credit is subject to limitations in accordance with the educational policies operative at each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accredited by an entity recognized by the U.S. Department of Education. </w:t>
      </w:r>
      <w:r>
        <w:rPr>
          <w:rFonts w:ascii="Times New Roman" w:hAnsi="Times New Roman"/>
          <w:b w:val="false"/>
          <w:i w:val="false"/>
          <w:color w:val="000000"/>
          <w:sz w:val="22"/>
        </w:rPr>
        <w:t>Credit earned at colleges and universities accredited by an entity recognized by the U.S. Department of Education is acceptable for transfer except that credit in courses determined by the receiving university to be of a remedial, vocational, or technical nature or credit in courses or programs in which the institution granting the credit is not directly involved may not be accepted or may be accepted to a limited extent.</w:t>
      </w:r>
    </w:p>
    <w:p>
      <w:pPr>
        <w:spacing w:before="0" w:after="0"/>
        <w:ind w:left="120"/>
        <w:jc w:val="both"/>
      </w:pPr>
      <w:r>
        <w:rPr>
          <w:rFonts w:ascii="Times New Roman" w:hAnsi="Times New Roman"/>
          <w:b w:val="false"/>
          <w:i w:val="false"/>
          <w:color w:val="000000"/>
          <w:sz w:val="22"/>
        </w:rPr>
        <w:t>Of the coursework earned at a two-year college, students may apply up to one-half but no more than 65 hours of the credits required for a bachelor’s degree toward that degree at a regent university except as otherwise agreed to in an articulation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that have candidate status. </w:t>
      </w:r>
      <w:r>
        <w:rPr>
          <w:rFonts w:ascii="Times New Roman" w:hAnsi="Times New Roman"/>
          <w:b w:val="false"/>
          <w:i w:val="false"/>
          <w:color w:val="000000"/>
          <w:sz w:val="22"/>
        </w:rPr>
        <w:t>Credit earned at colleges and universities that have become candidates for accreditation by an entity recognized by the U.S. Department of Education is acceptable for transfer in a manner similar to that from colleges and universities accredited by an entity recognized by the U.S. Department of Education if the credit is applicable to the bachelor’s degree at the receiving university.</w:t>
      </w:r>
    </w:p>
    <w:p>
      <w:pPr>
        <w:spacing w:before="0" w:after="0"/>
        <w:ind w:left="120"/>
        <w:jc w:val="both"/>
      </w:pPr>
      <w:r>
        <w:rPr>
          <w:rFonts w:ascii="Times New Roman" w:hAnsi="Times New Roman"/>
          <w:b w:val="false"/>
          <w:i w:val="false"/>
          <w:color w:val="000000"/>
          <w:sz w:val="22"/>
        </w:rPr>
        <w:t>Credit earned at the junior and senior classification from an accredited two-year college that has received approval by an entity recognized by the U.S. Department of Education for change to a four-year college may be accepted by a regent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not accredited by an entity recognized by the U.S. Department of Education. </w:t>
      </w:r>
      <w:r>
        <w:rPr>
          <w:rFonts w:ascii="Times New Roman" w:hAnsi="Times New Roman"/>
          <w:b w:val="false"/>
          <w:i w:val="false"/>
          <w:color w:val="000000"/>
          <w:sz w:val="22"/>
        </w:rPr>
        <w:t>When students are admitted from colleges and universities not accredited by an entity recognized by the U.S. Department of Education, they may validate portions or all of their transfer credit. Each university will specify the amount of the transfer credit and the terms of the validation process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outside the U.S. </w:t>
      </w:r>
      <w:r>
        <w:rPr>
          <w:rFonts w:ascii="Times New Roman" w:hAnsi="Times New Roman"/>
          <w:b w:val="false"/>
          <w:i w:val="false"/>
          <w:color w:val="000000"/>
          <w:sz w:val="22"/>
        </w:rPr>
        <w:t>Transfer credit from educational institutions outside the U.S. may be granted after a determination of the type of institution involved and after an evaluation of the content, level, and comparability of the study to courses and programs at the receiving university. Credit may be granted in specific courses but is frequently assigned to general areas of study.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2.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