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681—1.1</w:t>
      </w:r>
      <w:r>
        <w:rPr>
          <w:rFonts w:ascii="Times New Roman" w:hAnsi="Times New Roman"/>
          <w:b/>
          <w:i w:val="false"/>
          <w:color w:val="000000"/>
          <w:sz w:val="22"/>
        </w:rPr>
        <w:t xml:space="preserve">(262) </w:t>
      </w:r>
      <w:r>
        <w:rPr>
          <w:rFonts w:ascii="Times New Roman" w:hAnsi="Times New Roman"/>
          <w:b/>
          <w:i w:val="false"/>
          <w:color w:val="000000"/>
          <w:sz w:val="22"/>
        </w:rPr>
        <w:t xml:space="preserve">Admission of undergraduate students directly from high school. </w:t>
      </w:r>
      <w:r>
        <w:rPr>
          <w:rFonts w:ascii="Times New Roman" w:hAnsi="Times New Roman"/>
          <w:b w:val="false"/>
          <w:i w:val="false"/>
          <w:color w:val="000000"/>
          <w:sz w:val="22"/>
        </w:rPr>
        <w:t>Students desiring admission to the University of Iowa, Iowa State University, or the University of Northern Iowa must meet the requirements in this rule and also any special requirements for the curriculum, school, or college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Application. Applicants must submit a formal application for admission, together with the appropriate application fee and have their secondary school provide a transcript of their academic record, including credits and grades, rank in class (when available), and certification of graduation. Applicants may also submit standardized test scores. Applicants whose primary language is not English must also meet the English language proficiency requirement specified by each university. Applicants may be required to submit additional information or data to support their applications.</w:t>
      </w:r>
    </w:p>
    <w:p>
      <w:pPr>
        <w:spacing w:before="0" w:after="0"/>
        <w:ind w:left="120"/>
        <w:jc w:val="both"/>
      </w:pP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Admission criteria.</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regent admission index (RAI) will be calculated for freshman applicants who submit all components used in the equation below. For purposes of calculating the RAI, the ACT composite score has a top value of 36 (SAT scores or other approved standardized tests will be converted to ACT composite equivalents), high school GPA is expressed on a four-point scale, and number of high school courses completed in the core subject areas is expressed in terms of years or fractions of years of study.</w:t>
      </w:r>
    </w:p>
    <w:tbl>
      <w:tblPr>
        <w:tblW w:w="0" w:type="auto"/>
        <w:tblCellSpacing w:w="0" w:type="auto"/>
        <w:tblBorders>
          <w:top w:val="none"/>
          <w:left w:val="none"/>
          <w:bottom w:val="none"/>
          <w:right w:val="none"/>
          <w:insideH w:val="none"/>
          <w:insideV w:val="none"/>
        </w:tblBorders>
        <w:tblLayout w:type="fixed"/>
      </w:tblPr>
      <w:tblGrid>
        <w:gridCol w:w="777"/>
        <w:gridCol w:w="355"/>
        <w:gridCol w:w="1929"/>
        <w:gridCol w:w="355"/>
        <w:gridCol w:w="2293"/>
        <w:gridCol w:w="355"/>
        <w:gridCol w:w="2888"/>
      </w:tblGrid>
      <w:tr>
        <w:trPr>
          <w:trHeight w:val="345" w:hRule="atLeast"/>
        </w:trPr>
        <w:tc>
          <w:tcPr>
            <w:tcW w:w="777" w:type="dxa"/>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RAI</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929"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 × ACT composite score)</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2293"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 × high school grade point average)</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288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 × number of high school courses completed in the core subject areas)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Freshman applicants from Iowa high schools who have an RAI that meets a minimum set by the state board of regents and who meet the minimum requirements of the regent universities will qualify for automatic admission. Freshman applicants who have an RAI below the minimum set by the state board of regents or who do not have all components used in the RAI may also be admitted to a regent university; however, each regent university will review these applications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Graduates of approved high schools in other states may be held to higher academic standards but must meet at least the same requirements as graduates of Iowa high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val="false"/>
          <w:color w:val="000000"/>
          <w:sz w:val="22"/>
        </w:rPr>
        <w:t>Applicants who are graduates of nonapproved high schools will be considered for admission in a manner similar to applicants from approved high schools, but additional emphasis will be given to scores obtained on standardized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val="false"/>
          <w:color w:val="000000"/>
          <w:sz w:val="22"/>
        </w:rPr>
        <w:t>Applicants who are not high school graduates, but whose classes have graduated, may be considered for admission. These applicants will be required to submit all academic data to the extent that it exists and achieve scores on standardized examinations that will demonstrate that they are adequately prepared for academic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val="false"/>
          <w:color w:val="000000"/>
          <w:sz w:val="22"/>
        </w:rPr>
        <w:t>Early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with superior academic records may be admitted, on an individual basis, for part-time university study while enrolled in high school or during the summers prior to high school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rare situations, exceptional students may be admitted as full-time students to a regent university before completing high school. Early admission to a regent university is provided to serve persons whose academic achievement and personal and intellectual maturity clearly suggest readiness for collegiate-level study. Each university will specify requirements and conditions for early admission.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2.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