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661—401.3</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Applications for reimbursement for medical attention. </w:t>
      </w:r>
      <w:r>
        <w:rPr>
          <w:rFonts w:ascii="Times New Roman" w:hAnsi="Times New Roman"/>
          <w:b w:val="false"/>
          <w:i w:val="false"/>
          <w:color w:val="000000"/>
          <w:sz w:val="22"/>
        </w:rPr>
        <w:t xml:space="preserve">Member beneficiaries may make application for reimbursement of the costs of medical attention as defined in rule </w:t>
      </w:r>
      <w:hyperlink r:id="rId4">
        <w:r>
          <w:rPr>
            <w:rStyle w:val="Hyperlink"/>
            <w:rFonts w:ascii="Times New Roman" w:hAnsi="Times New Roman"/>
            <w:b w:val="false"/>
            <w:i w:val="false"/>
            <w:color w:val="000000"/>
            <w:sz w:val="22"/>
          </w:rPr>
          <w:t>661—400.2</w:t>
        </w:r>
      </w:hyperlink>
      <w:r>
        <w:rPr>
          <w:rFonts w:ascii="Times New Roman" w:hAnsi="Times New Roman"/>
          <w:b w:val="false"/>
          <w:i w:val="false"/>
          <w:color w:val="000000"/>
          <w:sz w:val="22"/>
        </w:rPr>
        <w:t>(97A). This rule provides for the requirements of making application for reimbursement, the process for review and disposition of the application, and payment of approved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401.3(1)</w:t>
      </w:r>
      <w:r>
        <w:rPr>
          <w:rFonts w:ascii="Times New Roman" w:hAnsi="Times New Roman"/>
          <w:b w:val="false"/>
          <w:i w:val="false"/>
          <w:color w:val="000000"/>
          <w:sz w:val="22"/>
        </w:rPr>
        <w:t> </w:t>
      </w:r>
      <w:r>
        <w:rPr>
          <w:rFonts w:ascii="Times New Roman" w:hAnsi="Times New Roman"/>
          <w:b w:val="false"/>
          <w:i/>
          <w:color w:val="000000"/>
          <w:sz w:val="22"/>
        </w:rPr>
        <w:t xml:space="preserve">Making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reimbursement must be filed on a form provided by the secretary within 12 months of the member beneficiary’s receiving treatment or incurring a cost for medical attention.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event there is a dispute with an insurance company regarding covered expenses, to remain eligible for reimbursement, the member beneficiary must file a request for extension, on a form provided by the secretary, if resolution of the dispute is expected to exceed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shall only be reimbursed if the member beneficiary is retired as a result of an injury, illness or exposure occurring while in the performance of duty and is receiving a benefit as provided in Iowa Code section </w:t>
      </w:r>
      <w:hyperlink r:id="rId5">
        <w:r>
          <w:rPr>
            <w:rStyle w:val="Hyperlink"/>
            <w:rFonts w:ascii="Times New Roman" w:hAnsi="Times New Roman"/>
            <w:b w:val="false"/>
            <w:i w:val="false"/>
            <w:color w:val="000000"/>
            <w:sz w:val="22"/>
          </w:rPr>
          <w:t>97A.6(6)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shall be reimbursed only if the member beneficiary received medical attention for a condition with direct correlation to the disabling condition, the costs of which were not covered by insurance.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system shall not reimburse for insurance premiums.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401.3(2)</w:t>
      </w:r>
      <w:r>
        <w:rPr>
          <w:rFonts w:ascii="Times New Roman" w:hAnsi="Times New Roman"/>
          <w:b w:val="false"/>
          <w:i w:val="false"/>
          <w:color w:val="000000"/>
          <w:sz w:val="22"/>
        </w:rPr>
        <w:t> </w:t>
      </w:r>
      <w:r>
        <w:rPr>
          <w:rFonts w:ascii="Times New Roman" w:hAnsi="Times New Roman"/>
          <w:b w:val="false"/>
          <w:i/>
          <w:color w:val="000000"/>
          <w:sz w:val="22"/>
        </w:rPr>
        <w:t xml:space="preserve">Processing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the application and supporting documentation, the secretary shall review the application for timeliness, completeness and validity. This subrule does not impose a responsibility on the secretary to discover documents or evidence not included on the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shall refer the written application to the board for review at the next regularly scheduled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beneficiary does not need to be in attendance at the board meeting. In order to comply with Title II of the Health Insurance Portability and Accountability Act of 1996 (HIPAA), specific information pertaining to an application for reimbursement or the member beneficiary’s disabling condition will not be discussed in open forum of the board meeting unless the member beneficiary is present and approves discussion in a public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board may approve or deny all or part of a reimbursement application. The board may request additional information to support the application for reimbursement or to determine the correlation of the expense to the disabling condition. The member beneficiary shall provide the documents to the secretary within a reasonable time period. In no case shall the application remain valid for a period of more than 12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board denies any part of a request for reimbursement, the member beneficiary may request judicial review in accordance with Iowa Code section </w:t>
      </w:r>
      <w:hyperlink r:id="rId6">
        <w:r>
          <w:rPr>
            <w:rStyle w:val="Hyperlink"/>
            <w:rFonts w:ascii="Times New Roman" w:hAnsi="Times New Roman"/>
            <w:b w:val="false"/>
            <w:i w:val="false"/>
            <w:color w:val="000000"/>
            <w:sz w:val="22"/>
          </w:rPr>
          <w:t>97A.6(13)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system will make reimbursements only to the member beneficiary or to the surviving spouse in the event the member beneficiary is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401.3(3)</w:t>
      </w:r>
      <w:r>
        <w:rPr>
          <w:rFonts w:ascii="Times New Roman" w:hAnsi="Times New Roman"/>
          <w:b w:val="false"/>
          <w:i w:val="false"/>
          <w:color w:val="000000"/>
          <w:sz w:val="22"/>
        </w:rPr>
        <w:t> </w:t>
      </w:r>
      <w:r>
        <w:rPr>
          <w:rFonts w:ascii="Times New Roman" w:hAnsi="Times New Roman"/>
          <w:b w:val="false"/>
          <w:i/>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Reimbursements for claimed expenses shall be reduced by any amount already received by the member beneficiary from workers’ compensation or from a third party as a result of subrogation proceedings entered into as a result of the disabling injury.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the member beneficiary is restored to active service pursuant to Iowa Code section </w:t>
      </w:r>
      <w:hyperlink r:id="rId7">
        <w:r>
          <w:rPr>
            <w:rStyle w:val="Hyperlink"/>
            <w:rFonts w:ascii="Times New Roman" w:hAnsi="Times New Roman"/>
            <w:b w:val="false"/>
            <w:i w:val="false"/>
            <w:color w:val="000000"/>
            <w:sz w:val="22"/>
          </w:rPr>
          <w:t>97A.6(7)</w:t>
        </w:r>
      </w:hyperlink>
      <w:r>
        <w:rPr>
          <w:rFonts w:ascii="Times New Roman" w:hAnsi="Times New Roman"/>
          <w:b w:val="false"/>
          <w:i/>
          <w:color w:val="000000"/>
          <w:sz w:val="22"/>
        </w:rPr>
        <w:t>“b,”</w:t>
      </w:r>
      <w:r>
        <w:rPr>
          <w:rFonts w:ascii="Times New Roman" w:hAnsi="Times New Roman"/>
          <w:b w:val="false"/>
          <w:i w:val="false"/>
          <w:color w:val="000000"/>
          <w:sz w:val="22"/>
        </w:rPr>
        <w:t xml:space="preserve">consideration of reimbursement for expenses pursuant to Iowa Code section </w:t>
      </w:r>
      <w:hyperlink r:id="rId8">
        <w:r>
          <w:rPr>
            <w:rStyle w:val="Hyperlink"/>
            <w:rFonts w:ascii="Times New Roman" w:hAnsi="Times New Roman"/>
            <w:b w:val="false"/>
            <w:i w:val="false"/>
            <w:color w:val="000000"/>
            <w:sz w:val="22"/>
          </w:rPr>
          <w:t>97A.14</w:t>
        </w:r>
      </w:hyperlink>
      <w:r>
        <w:rPr>
          <w:rFonts w:ascii="Times New Roman" w:hAnsi="Times New Roman"/>
          <w:b w:val="false"/>
          <w:i w:val="false"/>
          <w:color w:val="000000"/>
          <w:sz w:val="22"/>
        </w:rPr>
        <w:t xml:space="preserve"> shall not extend beyond the date of restoration to active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member beneficiary receiving a disability retirement pursuant to Iowa Code section </w:t>
      </w:r>
      <w:hyperlink r:id="rId9">
        <w:r>
          <w:rPr>
            <w:rStyle w:val="Hyperlink"/>
            <w:rFonts w:ascii="Times New Roman" w:hAnsi="Times New Roman"/>
            <w:b w:val="false"/>
            <w:i w:val="false"/>
            <w:color w:val="000000"/>
            <w:sz w:val="22"/>
          </w:rPr>
          <w:t>97A.6(6)</w:t>
        </w:r>
      </w:hyperlink>
      <w:r>
        <w:rPr>
          <w:rFonts w:ascii="Times New Roman" w:hAnsi="Times New Roman"/>
          <w:b w:val="false"/>
          <w:i w:val="false"/>
          <w:color w:val="000000"/>
          <w:sz w:val="22"/>
        </w:rPr>
        <w:t xml:space="preserve"> becomes employed in a public safety occupation pursuant to Iowa Code section </w:t>
      </w:r>
      <w:hyperlink r:id="rId10">
        <w:r>
          <w:rPr>
            <w:rStyle w:val="Hyperlink"/>
            <w:rFonts w:ascii="Times New Roman" w:hAnsi="Times New Roman"/>
            <w:b w:val="false"/>
            <w:i w:val="false"/>
            <w:color w:val="000000"/>
            <w:sz w:val="22"/>
          </w:rPr>
          <w:t>97A.6(7)</w:t>
        </w:r>
      </w:hyperlink>
      <w:r>
        <w:rPr>
          <w:rFonts w:ascii="Times New Roman" w:hAnsi="Times New Roman"/>
          <w:b w:val="false"/>
          <w:i/>
          <w:color w:val="000000"/>
          <w:sz w:val="22"/>
        </w:rPr>
        <w:t>“d,”</w:t>
      </w:r>
      <w:r>
        <w:rPr>
          <w:rFonts w:ascii="Times New Roman" w:hAnsi="Times New Roman"/>
          <w:b w:val="false"/>
          <w:i w:val="false"/>
          <w:color w:val="000000"/>
          <w:sz w:val="22"/>
        </w:rPr>
        <w:t xml:space="preserve"> consideration of reimbursement for expenses pursuant to Iowa Code section </w:t>
      </w:r>
      <w:hyperlink r:id="rId11">
        <w:r>
          <w:rPr>
            <w:rStyle w:val="Hyperlink"/>
            <w:rFonts w:ascii="Times New Roman" w:hAnsi="Times New Roman"/>
            <w:b w:val="false"/>
            <w:i w:val="false"/>
            <w:color w:val="000000"/>
            <w:sz w:val="22"/>
          </w:rPr>
          <w:t>97A.14</w:t>
        </w:r>
      </w:hyperlink>
      <w:r>
        <w:rPr>
          <w:rFonts w:ascii="Times New Roman" w:hAnsi="Times New Roman"/>
          <w:b w:val="false"/>
          <w:i w:val="false"/>
          <w:color w:val="000000"/>
          <w:sz w:val="22"/>
        </w:rPr>
        <w:t xml:space="preserve"> shall not extend beyond the date of employment with the employing jurisdiction.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61.400.2.pdf" Type="http://schemas.openxmlformats.org/officeDocument/2006/relationships/hyperlink" Id="rId4"/>
    <Relationship TargetMode="External" Target="https://www.legis.iowa.gov/docs/ico/chapter/97A.6.pdf" Type="http://schemas.openxmlformats.org/officeDocument/2006/relationships/hyperlink" Id="rId5"/>
    <Relationship TargetMode="External" Target="https://www.legis.iowa.gov/docs/ico/chapter/97A.6.pdf" Type="http://schemas.openxmlformats.org/officeDocument/2006/relationships/hyperlink" Id="rId6"/>
    <Relationship TargetMode="External" Target="https://www.legis.iowa.gov/docs/ico/chapter/97A.6.pdf" Type="http://schemas.openxmlformats.org/officeDocument/2006/relationships/hyperlink" Id="rId7"/>
    <Relationship TargetMode="External" Target="https://www.legis.iowa.gov/docs/ico/chapter/97A.14.pdf" Type="http://schemas.openxmlformats.org/officeDocument/2006/relationships/hyperlink" Id="rId8"/>
    <Relationship TargetMode="External" Target="https://www.legis.iowa.gov/docs/ico/chapter/97A.6.pdf" Type="http://schemas.openxmlformats.org/officeDocument/2006/relationships/hyperlink" Id="rId9"/>
    <Relationship TargetMode="External" Target="https://www.legis.iowa.gov/docs/ico/chapter/97A.6.pdf" Type="http://schemas.openxmlformats.org/officeDocument/2006/relationships/hyperlink" Id="rId10"/>
    <Relationship TargetMode="External" Target="https://www.legis.iowa.gov/docs/ico/chapter/97A.14.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