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661—401.2</w:t>
      </w:r>
      <w:r>
        <w:rPr>
          <w:rFonts w:ascii="Times New Roman" w:hAnsi="Times New Roman"/>
          <w:b/>
          <w:i w:val="false"/>
          <w:color w:val="000000"/>
          <w:sz w:val="22"/>
        </w:rPr>
        <w:t xml:space="preserve">(97A) </w:t>
      </w:r>
      <w:r>
        <w:rPr>
          <w:rFonts w:ascii="Times New Roman" w:hAnsi="Times New Roman"/>
          <w:b/>
          <w:i w:val="false"/>
          <w:color w:val="000000"/>
          <w:sz w:val="22"/>
        </w:rPr>
        <w:t xml:space="preserve">Determination on initial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color w:val="000000"/>
          <w:sz w:val="22"/>
        </w:rPr>
        <w:t xml:space="preserve">Board approval. </w:t>
      </w:r>
      <w:r>
        <w:rPr>
          <w:rFonts w:ascii="Times New Roman" w:hAnsi="Times New Roman"/>
          <w:b w:val="false"/>
          <w:i w:val="false"/>
          <w:color w:val="000000"/>
          <w:sz w:val="22"/>
        </w:rPr>
        <w:t>The board may approve or deny the application as presented or may direct the applicant to provide further medical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color w:val="000000"/>
          <w:sz w:val="22"/>
        </w:rPr>
        <w:t xml:space="preserve">Denial and appeal. </w:t>
      </w:r>
      <w:r>
        <w:rPr>
          <w:rFonts w:ascii="Times New Roman" w:hAnsi="Times New Roman"/>
          <w:b w:val="false"/>
          <w:i w:val="false"/>
          <w:color w:val="000000"/>
          <w:sz w:val="22"/>
        </w:rPr>
        <w:t>A decision by the board to deny the application may be appealed by the applicant. Written notice of a denial shall be provided to the applicant by certified mail. The written notice shall disclose the applicant’s right to appeal, the procedure for filing an appeal, and the deadline for filing an appeal. An appeal must be filed in writing with the secretary within 30 calendar days after the applicant receives written notice of the decision of the board. The board may extend the deadline for filing an appeal. At a minimum, an appeal shall include a short and concise statement of the basis for the appeal.</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