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661—401.109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Variance between adopted rule and published notice of proposed rule adoption.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