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661—401.1</w:t>
      </w:r>
      <w:r>
        <w:rPr>
          <w:rFonts w:ascii="Times New Roman" w:hAnsi="Times New Roman"/>
          <w:b/>
          <w:i w:val="false"/>
          <w:color w:val="000000"/>
          <w:sz w:val="22"/>
        </w:rPr>
        <w:t xml:space="preserve">(97A) </w:t>
      </w:r>
      <w:r>
        <w:rPr>
          <w:rFonts w:ascii="Times New Roman" w:hAnsi="Times New Roman"/>
          <w:b/>
          <w:i w:val="false"/>
          <w:color w:val="000000"/>
          <w:sz w:val="22"/>
        </w:rPr>
        <w:t xml:space="preserve">Applications. </w:t>
      </w:r>
      <w:r>
        <w:rPr>
          <w:rFonts w:ascii="Times New Roman" w:hAnsi="Times New Roman"/>
          <w:b w:val="false"/>
          <w:i w:val="false"/>
          <w:color w:val="000000"/>
          <w:sz w:val="22"/>
        </w:rPr>
        <w:t xml:space="preserve">Applications for benefits under Iowa Code chapter </w:t>
      </w:r>
      <w:hyperlink r:id="rId4">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xml:space="preserve"> shall be filed with the secretary on forms provided by the secretary. Applications for service retirement shall be made not more than 90 days nor less than 30 days in advance of the date of retirement. Applications for service retirement, ordinary disability or accidental disability shall be reviewed by the secretary for completeness and then forwarded to the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w:t>
      </w:r>
      <w:r>
        <w:rPr>
          <w:rFonts w:ascii="Times New Roman" w:hAnsi="Times New Roman"/>
          <w:b w:val="false"/>
          <w:i w:val="false"/>
          <w:color w:val="000000"/>
          <w:sz w:val="22"/>
        </w:rPr>
        <w:t> </w:t>
      </w:r>
      <w:r>
        <w:rPr>
          <w:rFonts w:ascii="Times New Roman" w:hAnsi="Times New Roman"/>
          <w:b w:val="false"/>
          <w:i/>
          <w:color w:val="000000"/>
          <w:sz w:val="22"/>
        </w:rPr>
        <w:t xml:space="preserve">Manner of review for ordinary or accidental disability. </w:t>
      </w:r>
      <w:r>
        <w:rPr>
          <w:rFonts w:ascii="Times New Roman" w:hAnsi="Times New Roman"/>
          <w:b w:val="false"/>
          <w:i w:val="false"/>
          <w:color w:val="000000"/>
          <w:sz w:val="22"/>
        </w:rPr>
        <w:t>The secretary shall compile the following materials, if available and applicable, for the board’s review of a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materials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available medical information in the possession of the board or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information available through any workers’ compensation claims made by the applicant;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Recommendations and reports from the medical board.</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This subrule does not impose a responsibility on the secretary to discover documents or evidence not in the secretary’s possession. It is only intended to outline the types of evidence the secretary should provide to the board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w:t>
      </w:r>
      <w:r>
        <w:rPr>
          <w:rFonts w:ascii="Times New Roman" w:hAnsi="Times New Roman"/>
          <w:b w:val="false"/>
          <w:i w:val="false"/>
          <w:color w:val="000000"/>
          <w:sz w:val="22"/>
        </w:rPr>
        <w:t> </w:t>
      </w:r>
      <w:r>
        <w:rPr>
          <w:rFonts w:ascii="Times New Roman" w:hAnsi="Times New Roman"/>
          <w:b w:val="false"/>
          <w:i/>
          <w:color w:val="000000"/>
          <w:sz w:val="22"/>
        </w:rPr>
        <w:t xml:space="preserve">Commissioner’s application. </w:t>
      </w:r>
      <w:r>
        <w:rPr>
          <w:rFonts w:ascii="Times New Roman" w:hAnsi="Times New Roman"/>
          <w:b w:val="false"/>
          <w:i w:val="false"/>
          <w:color w:val="000000"/>
          <w:sz w:val="22"/>
        </w:rPr>
        <w:t>The commissioner may file an application for ordinary or accidental disability on behalf of a member in service. The secretary shall review such applications in the same manner as those filed by a member. The fact that the commissioner has filed an application on a member’s behalf shall not prevent the commissioner or the board from denying the application. All applications for accidental disability benefits shall be deemed cross-filed by the commissioner for the purpose of considering disability benefits. Nothing in this rule prevents the board from denying any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7A.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