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661—174.2</w:t>
      </w:r>
      <w:r>
        <w:rPr>
          <w:rFonts w:ascii="Times New Roman" w:hAnsi="Times New Roman"/>
          <w:b/>
          <w:i w:val="false"/>
          <w:color w:val="000000"/>
          <w:sz w:val="22"/>
        </w:rPr>
        <w:t xml:space="preserve">(81GA,SF169) </w:t>
      </w:r>
      <w:r>
        <w:rPr>
          <w:rFonts w:ascii="Times New Roman" w:hAnsi="Times New Roman"/>
          <w:b/>
          <w:i w:val="false"/>
          <w:color w:val="000000"/>
          <w:sz w:val="22"/>
        </w:rPr>
        <w:t xml:space="preserve">Reporting of civil penalties. </w:t>
      </w:r>
      <w:r>
        <w:rPr>
          <w:rFonts w:ascii="Times New Roman" w:hAnsi="Times New Roman"/>
          <w:b w:val="false"/>
          <w:i w:val="false"/>
          <w:color w:val="000000"/>
          <w:sz w:val="22"/>
        </w:rPr>
        <w:t xml:space="preserve">Pursuant to Iowa Code section </w:t>
      </w:r>
      <w:hyperlink r:id="rId4">
        <w:r>
          <w:rPr>
            <w:rStyle w:val="Hyperlink"/>
            <w:rFonts w:ascii="Times New Roman" w:hAnsi="Times New Roman"/>
            <w:b w:val="false"/>
            <w:i w:val="false"/>
            <w:color w:val="000000"/>
            <w:sz w:val="22"/>
          </w:rPr>
          <w:t>126.23B</w:t>
        </w:r>
      </w:hyperlink>
      <w:r>
        <w:rPr>
          <w:rFonts w:ascii="Times New Roman" w:hAnsi="Times New Roman"/>
          <w:b w:val="false"/>
          <w:i w:val="false"/>
          <w:color w:val="000000"/>
          <w:sz w:val="22"/>
        </w:rPr>
        <w:t xml:space="preserve">, within 30 days of the assessment of a civil penalty upon a retailer or employee of a retailer of products containing pseudoephedrine for a violation of the provisions of Iowa Code section </w:t>
      </w:r>
      <w:hyperlink r:id="rId5">
        <w:r>
          <w:rPr>
            <w:rStyle w:val="Hyperlink"/>
            <w:rFonts w:ascii="Times New Roman" w:hAnsi="Times New Roman"/>
            <w:b w:val="false"/>
            <w:i w:val="false"/>
            <w:color w:val="000000"/>
            <w:sz w:val="22"/>
          </w:rPr>
          <w:t>124.212A</w:t>
        </w:r>
      </w:hyperlink>
      <w:r>
        <w:rPr>
          <w:rFonts w:ascii="Times New Roman" w:hAnsi="Times New Roman"/>
          <w:b w:val="false"/>
          <w:i w:val="false"/>
          <w:color w:val="000000"/>
          <w:sz w:val="22"/>
        </w:rPr>
        <w:t xml:space="preserve"> or </w:t>
      </w:r>
      <w:hyperlink r:id="rId6">
        <w:r>
          <w:rPr>
            <w:rStyle w:val="Hyperlink"/>
            <w:rFonts w:ascii="Times New Roman" w:hAnsi="Times New Roman"/>
            <w:b w:val="false"/>
            <w:i w:val="false"/>
            <w:color w:val="000000"/>
            <w:sz w:val="22"/>
          </w:rPr>
          <w:t>126.23A</w:t>
        </w:r>
      </w:hyperlink>
      <w:r>
        <w:rPr>
          <w:rFonts w:ascii="Times New Roman" w:hAnsi="Times New Roman"/>
          <w:b w:val="false"/>
          <w:i w:val="false"/>
          <w:color w:val="000000"/>
          <w:sz w:val="22"/>
        </w:rPr>
        <w:t>, the city or county that has enforced the civil penalty will report the following information to the department: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Name and address of the retailer.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Name and birth date of the employee, if the civil penalty was assessed against an employee. If the assessment was against more than one employee, the name and birth date of each employee subject to the assessment will be reported.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Date of the violation.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Description of the violation.</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Amount of the civil penalty assessed.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0416D</w:t>
      </w:r>
      <w:r>
        <w:rPr>
          <w:rFonts w:ascii="Times New Roman" w:hAnsi="Times New Roman"/>
          <w:b w:val="false"/>
          <w:i w:val="false"/>
          <w:color w:val="000000"/>
          <w:sz w:val="16"/>
        </w:rPr>
        <w:t>, IAB 7/8/26, effective 8/12/26</w:t>
      </w:r>
      <w:r>
        <w:rPr>
          <w:rFonts w:ascii="Times New Roman" w:hAnsi="Times New Roman"/>
          <w:b w:val="false"/>
          <w:i w:val="false"/>
          <w:color w:val="000000"/>
          <w:sz w:val="16"/>
        </w:rPr>
        <w:t>]</w:t>
      </w:r>
    </w:p>
    <w:sectPr>
      <w:footerReference r:id="rId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26.23B.pdf" Type="http://schemas.openxmlformats.org/officeDocument/2006/relationships/hyperlink" Id="rId4"/>
    <Relationship TargetMode="External" Target="https://www.legis.iowa.gov/docs/ico/chapter/124.212A.pdf" Type="http://schemas.openxmlformats.org/officeDocument/2006/relationships/hyperlink" Id="rId5"/>
    <Relationship TargetMode="External" Target="https://www.legis.iowa.gov/docs/ico/chapter/126.23A.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