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661—156.6</w:t>
      </w:r>
      <w:r>
        <w:rPr>
          <w:rFonts w:ascii="Times New Roman" w:hAnsi="Times New Roman"/>
          <w:b/>
          <w:i w:val="false"/>
          <w:color w:val="000000"/>
          <w:sz w:val="22"/>
        </w:rPr>
        <w:t xml:space="preserve">(81) </w:t>
      </w:r>
      <w:r>
        <w:rPr>
          <w:rFonts w:ascii="Times New Roman" w:hAnsi="Times New Roman"/>
          <w:b/>
          <w:i w:val="false"/>
          <w:color w:val="000000"/>
          <w:sz w:val="22"/>
        </w:rPr>
        <w:t xml:space="preserve">Analysis of DNA samples. </w:t>
      </w:r>
      <w:r>
        <w:rPr>
          <w:rFonts w:ascii="Times New Roman" w:hAnsi="Times New Roman"/>
          <w:b w:val="false"/>
          <w:i w:val="false"/>
          <w:color w:val="000000"/>
          <w:sz w:val="22"/>
        </w:rPr>
        <w:t>Samples of DNA submitted to the laboratory will be analyzed by laboratory personnel and the results of the analysis entered into the database in accordance with the provisions of the “Quality Assurance Standards for Convicted Offender DNA Databasing Laboratories” published by the DNA Advisory Board to the Federal Bureau of Investigation, July 1, 2025.</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Analysis of DNA samples may be conducted by other laboratories under contract with the department with the approval of the administrator. Any other laboratory conducting analysis of DNA samples for inclusion in the database will comply with the requirements and procedures to which the laboratory is subject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0414D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