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661—156.4</w:t>
      </w:r>
      <w:r>
        <w:rPr>
          <w:rFonts w:ascii="Times New Roman" w:hAnsi="Times New Roman"/>
          <w:b/>
          <w:i w:val="false"/>
          <w:color w:val="000000"/>
          <w:sz w:val="22"/>
        </w:rPr>
        <w:t xml:space="preserve">(81) </w:t>
      </w:r>
      <w:r>
        <w:rPr>
          <w:rFonts w:ascii="Times New Roman" w:hAnsi="Times New Roman"/>
          <w:b/>
          <w:i w:val="false"/>
          <w:color w:val="000000"/>
          <w:sz w:val="22"/>
        </w:rPr>
        <w:t xml:space="preserve">Collection of DNA samples. </w:t>
      </w:r>
      <w:r>
        <w:rPr>
          <w:rFonts w:ascii="Times New Roman" w:hAnsi="Times New Roman"/>
          <w:b w:val="false"/>
          <w:i w:val="false"/>
          <w:color w:val="000000"/>
          <w:sz w:val="22"/>
        </w:rPr>
        <w:t xml:space="preserve">Samples of DNA will be collected from any person required to submit a sample pursuant to the provisions of Iowa Code chapter </w:t>
      </w:r>
      <w:hyperlink r:id="rId4">
        <w:r>
          <w:rPr>
            <w:rStyle w:val="Hyperlink"/>
            <w:rFonts w:ascii="Times New Roman" w:hAnsi="Times New Roman"/>
            <w:b w:val="false"/>
            <w:i w:val="false"/>
            <w:color w:val="000000"/>
            <w:sz w:val="22"/>
          </w:rPr>
          <w:t>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156.4(1)</w:t>
      </w:r>
      <w:r>
        <w:rPr>
          <w:rFonts w:ascii="Times New Roman" w:hAnsi="Times New Roman"/>
          <w:b w:val="false"/>
          <w:i w:val="false"/>
          <w:color w:val="000000"/>
          <w:sz w:val="22"/>
        </w:rPr>
        <w:t> </w:t>
      </w:r>
      <w:r>
        <w:rPr>
          <w:rFonts w:ascii="Times New Roman" w:hAnsi="Times New Roman"/>
          <w:b w:val="false"/>
          <w:i w:val="false"/>
          <w:color w:val="000000"/>
          <w:sz w:val="22"/>
        </w:rPr>
        <w:t>The sample will be collected by the agency to which custody or responsibility for supervision has been assigned by the court issuing the sentencing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156.4(2)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DNA sample will be collected as soon as is practical after an agency assumes custody or supervision of the person required to submit the DNA sample and the DNA sample is submitted to the laboratory in accordance with rule </w:t>
      </w:r>
      <w:hyperlink r:id="rId5">
        <w:r>
          <w:rPr>
            <w:rStyle w:val="Hyperlink"/>
            <w:rFonts w:ascii="Times New Roman" w:hAnsi="Times New Roman"/>
            <w:b w:val="false"/>
            <w:i w:val="false"/>
            <w:color w:val="000000"/>
            <w:sz w:val="22"/>
          </w:rPr>
          <w:t>661—156.5</w:t>
        </w:r>
      </w:hyperlink>
      <w:r>
        <w:rPr>
          <w:rFonts w:ascii="Times New Roman" w:hAnsi="Times New Roman"/>
          <w:b w:val="false"/>
          <w:i w:val="false"/>
          <w:color w:val="000000"/>
          <w:sz w:val="22"/>
        </w:rPr>
        <w:t>(81).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156.4(3)</w:t>
      </w:r>
      <w:r>
        <w:rPr>
          <w:rFonts w:ascii="Times New Roman" w:hAnsi="Times New Roman"/>
          <w:b w:val="false"/>
          <w:i w:val="false"/>
          <w:color w:val="000000"/>
          <w:sz w:val="22"/>
        </w:rPr>
        <w:t> </w:t>
      </w:r>
      <w:r>
        <w:rPr>
          <w:rFonts w:ascii="Times New Roman" w:hAnsi="Times New Roman"/>
          <w:b w:val="false"/>
          <w:i w:val="false"/>
          <w:color w:val="000000"/>
          <w:sz w:val="22"/>
        </w:rPr>
        <w:t>Each DNA sample will be collected using a DNA collection kit provided by the laboratory, following the instructions provided for the kit by the laboratory.</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A DNA sample may be collected without the use of a DNA collection kit provided by the laboratory. If a sample is collected without the use of a kit, the person submitting the sample will include a signed and dated statement describing the collection procedure.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0414D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1.pdf" Type="http://schemas.openxmlformats.org/officeDocument/2006/relationships/hyperlink" Id="rId4"/>
    <Relationship TargetMode="External" Target="https://www.legis.iowa.gov/docs/iac/rule/661.156.5.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