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661—156.1</w:t>
      </w:r>
      <w:r>
        <w:rPr>
          <w:rFonts w:ascii="Times New Roman" w:hAnsi="Times New Roman"/>
          <w:b/>
          <w:i w:val="false"/>
          <w:color w:val="000000"/>
          <w:sz w:val="22"/>
        </w:rPr>
        <w:t xml:space="preserve">(81) </w:t>
      </w:r>
      <w:r>
        <w:rPr>
          <w:rFonts w:ascii="Times New Roman" w:hAnsi="Times New Roman"/>
          <w:b/>
          <w:i w:val="false"/>
          <w:color w:val="000000"/>
          <w:sz w:val="22"/>
        </w:rPr>
        <w:t xml:space="preserve">Establishment of DNA database. </w:t>
      </w:r>
      <w:r>
        <w:rPr>
          <w:rFonts w:ascii="Times New Roman" w:hAnsi="Times New Roman"/>
          <w:b w:val="false"/>
          <w:i w:val="false"/>
          <w:color w:val="000000"/>
          <w:sz w:val="22"/>
        </w:rPr>
        <w:t>There is established a DNA database within the division criminalistics laboratory. These rules govern the administration of the DNA database and the collection, submission, analysis, identification, storage, and disposition of DNA records gathered for the DNA database. These rules do not apply to the collection and handling of DNA samples gathered as evidence in the course of criminal investigations.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