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621—12.1</w:t>
      </w:r>
      <w:r>
        <w:rPr>
          <w:rFonts w:ascii="Times New Roman" w:hAnsi="Times New Roman"/>
          <w:b/>
          <w:i w:val="false"/>
          <w:color w:val="000000"/>
          <w:sz w:val="22"/>
        </w:rPr>
        <w:t xml:space="preserve">(17A,20,22)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public employment relations board or PERB.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or a person lawfully delegated authority to act for the agency in implementing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 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disclosure of a record without the consent of the subject or subjects, for a purpose which is compatible with the purpose for which the record was collected or is maintained. “Routine use” includes disclosures required to be made by statute other than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2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