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footer+xml" PartName="/word/footer.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11.5.9 (Apache licensed) using REFERENCE JAXB in Eclipse Adoptium Java 21.0.9 on Windows Server 2022 -->
    <w:p>
      <w:pPr>
        <w:spacing w:before="0" w:after="0"/>
        <w:ind w:left="120"/>
        <w:jc w:val="both"/>
      </w:pPr>
      <w:r>
        <w:rPr>
          <w:rFonts w:ascii="Times New Roman" w:hAnsi="Times New Roman"/>
          <w:b/>
          <w:i w:val="false"/>
          <w:color w:val="000000"/>
          <w:sz w:val="22"/>
        </w:rPr>
        <w:t>621—1.6</w:t>
      </w:r>
      <w:r>
        <w:rPr>
          <w:rFonts w:ascii="Times New Roman" w:hAnsi="Times New Roman"/>
          <w:b/>
          <w:i w:val="false"/>
          <w:color w:val="000000"/>
          <w:sz w:val="22"/>
        </w:rPr>
        <w:t xml:space="preserve">(20) </w:t>
      </w:r>
      <w:r>
        <w:rPr>
          <w:rFonts w:ascii="Times New Roman" w:hAnsi="Times New Roman"/>
          <w:b/>
          <w:i w:val="false"/>
          <w:color w:val="000000"/>
          <w:sz w:val="22"/>
        </w:rPr>
        <w:t xml:space="preserve">Definitions.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1.6(1)</w:t>
      </w:r>
      <w:r>
        <w:rPr>
          <w:rFonts w:ascii="Times New Roman" w:hAnsi="Times New Roman"/>
          <w:b w:val="false"/>
          <w:i w:val="false"/>
          <w:color w:val="000000"/>
          <w:sz w:val="22"/>
        </w:rPr>
        <w:t> </w:t>
      </w:r>
      <w:r>
        <w:rPr>
          <w:rFonts w:ascii="Times New Roman" w:hAnsi="Times New Roman"/>
          <w:b w:val="false"/>
          <w:i/>
          <w:color w:val="000000"/>
          <w:sz w:val="22"/>
        </w:rPr>
        <w:t xml:space="preserve">“Act” </w:t>
      </w:r>
      <w:r>
        <w:rPr>
          <w:rFonts w:ascii="Times New Roman" w:hAnsi="Times New Roman"/>
          <w:b w:val="false"/>
          <w:i w:val="false"/>
          <w:color w:val="000000"/>
          <w:sz w:val="22"/>
        </w:rPr>
        <w:t xml:space="preserve">as used in these rules shall mean the public employment relations Act, Iowa Code chapter </w:t>
      </w:r>
      <w:hyperlink r:id="rId4">
        <w:r>
          <w:rPr>
            <w:rStyle w:val="Hyperlink"/>
            <w:rFonts w:ascii="Times New Roman" w:hAnsi="Times New Roman"/>
            <w:b w:val="false"/>
            <w:i w:val="false"/>
            <w:color w:val="000000"/>
            <w:sz w:val="22"/>
          </w:rPr>
          <w:t>20</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1.6(2)</w:t>
      </w:r>
      <w:r>
        <w:rPr>
          <w:rFonts w:ascii="Times New Roman" w:hAnsi="Times New Roman"/>
          <w:b w:val="false"/>
          <w:i w:val="false"/>
          <w:color w:val="000000"/>
          <w:sz w:val="22"/>
        </w:rPr>
        <w:t> </w:t>
      </w:r>
      <w:r>
        <w:rPr>
          <w:rFonts w:ascii="Times New Roman" w:hAnsi="Times New Roman"/>
          <w:b w:val="false"/>
          <w:i/>
          <w:color w:val="000000"/>
          <w:sz w:val="22"/>
        </w:rPr>
        <w:t xml:space="preserve">“Board” </w:t>
      </w:r>
      <w:r>
        <w:rPr>
          <w:rFonts w:ascii="Times New Roman" w:hAnsi="Times New Roman"/>
          <w:b w:val="false"/>
          <w:i w:val="false"/>
          <w:color w:val="000000"/>
          <w:sz w:val="22"/>
        </w:rPr>
        <w:t>as used in these rules shall mean the public employment relations board. No official board action may be taken without the concurrence of at least two members of the board; provided, however, that when for compelling reasons only two members hear an appeal of a proposed decision in a contested case and the two members do not concur, the result shall be affirmation of the proposed decision. The board, in its discretion, may delegate to board employees duties which the Act does not specifically require be performed by the board.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1.6(3)</w:t>
      </w:r>
      <w:r>
        <w:rPr>
          <w:rFonts w:ascii="Times New Roman" w:hAnsi="Times New Roman"/>
          <w:b w:val="false"/>
          <w:i w:val="false"/>
          <w:color w:val="000000"/>
          <w:sz w:val="22"/>
        </w:rPr>
        <w:t> </w:t>
      </w:r>
      <w:r>
        <w:rPr>
          <w:rFonts w:ascii="Times New Roman" w:hAnsi="Times New Roman"/>
          <w:b w:val="false"/>
          <w:i/>
          <w:color w:val="000000"/>
          <w:sz w:val="22"/>
        </w:rPr>
        <w:t xml:space="preserve">Petitioner—complainant—respondent—intervenor.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color w:val="000000"/>
          <w:sz w:val="22"/>
        </w:rPr>
        <w:t xml:space="preserve">“Petitioner” </w:t>
      </w:r>
      <w:r>
        <w:rPr>
          <w:rFonts w:ascii="Times New Roman" w:hAnsi="Times New Roman"/>
          <w:b w:val="false"/>
          <w:i w:val="false"/>
          <w:color w:val="000000"/>
          <w:sz w:val="22"/>
        </w:rPr>
        <w:t xml:space="preserve">means the party filing a petition under Iowa Code section </w:t>
      </w:r>
      <w:hyperlink r:id="rId5">
        <w:r>
          <w:rPr>
            <w:rStyle w:val="Hyperlink"/>
            <w:rFonts w:ascii="Times New Roman" w:hAnsi="Times New Roman"/>
            <w:b w:val="false"/>
            <w:i w:val="false"/>
            <w:color w:val="000000"/>
            <w:sz w:val="22"/>
          </w:rPr>
          <w:t>20.13</w:t>
        </w:r>
      </w:hyperlink>
      <w:r>
        <w:rPr>
          <w:rFonts w:ascii="Times New Roman" w:hAnsi="Times New Roman"/>
          <w:b w:val="false"/>
          <w:i w:val="false"/>
          <w:color w:val="000000"/>
          <w:sz w:val="22"/>
        </w:rPr>
        <w:t xml:space="preserve"> or </w:t>
      </w:r>
      <w:hyperlink r:id="rId6">
        <w:r>
          <w:rPr>
            <w:rStyle w:val="Hyperlink"/>
            <w:rFonts w:ascii="Times New Roman" w:hAnsi="Times New Roman"/>
            <w:b w:val="false"/>
            <w:i w:val="false"/>
            <w:color w:val="000000"/>
            <w:sz w:val="22"/>
          </w:rPr>
          <w:t>20.14</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color w:val="000000"/>
          <w:sz w:val="22"/>
        </w:rPr>
        <w:t xml:space="preserve">“Complainant” </w:t>
      </w:r>
      <w:r>
        <w:rPr>
          <w:rFonts w:ascii="Times New Roman" w:hAnsi="Times New Roman"/>
          <w:b w:val="false"/>
          <w:i w:val="false"/>
          <w:color w:val="000000"/>
          <w:sz w:val="22"/>
        </w:rPr>
        <w:t xml:space="preserve">means the party filing a complaint under Iowa Code section </w:t>
      </w:r>
      <w:hyperlink r:id="rId7">
        <w:r>
          <w:rPr>
            <w:rStyle w:val="Hyperlink"/>
            <w:rFonts w:ascii="Times New Roman" w:hAnsi="Times New Roman"/>
            <w:b w:val="false"/>
            <w:i w:val="false"/>
            <w:color w:val="000000"/>
            <w:sz w:val="22"/>
          </w:rPr>
          <w:t>20.11</w:t>
        </w:r>
      </w:hyperlink>
      <w:r>
        <w:rPr>
          <w:rFonts w:ascii="Times New Roman" w:hAnsi="Times New Roman"/>
          <w:b w:val="false"/>
          <w:i w:val="false"/>
          <w:color w:val="000000"/>
          <w:sz w:val="22"/>
        </w:rPr>
        <w:t>, alleging the commission of a prohibited practice.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color w:val="000000"/>
          <w:sz w:val="22"/>
        </w:rPr>
        <w:t xml:space="preserve">“Respondent” </w:t>
      </w:r>
      <w:r>
        <w:rPr>
          <w:rFonts w:ascii="Times New Roman" w:hAnsi="Times New Roman"/>
          <w:b w:val="false"/>
          <w:i w:val="false"/>
          <w:color w:val="000000"/>
          <w:sz w:val="22"/>
        </w:rPr>
        <w:t>means the party accused of committing a prohibited practice.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color w:val="000000"/>
          <w:sz w:val="22"/>
        </w:rPr>
        <w:t xml:space="preserve">“Intervenor” </w:t>
      </w:r>
      <w:r>
        <w:rPr>
          <w:rFonts w:ascii="Times New Roman" w:hAnsi="Times New Roman"/>
          <w:b w:val="false"/>
          <w:i w:val="false"/>
          <w:color w:val="000000"/>
          <w:sz w:val="22"/>
        </w:rPr>
        <w:t>means a party who voluntarily interposes in a proceeding with the approval of the board or administrative law judge.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1.6(4)</w:t>
      </w:r>
      <w:r>
        <w:rPr>
          <w:rFonts w:ascii="Times New Roman" w:hAnsi="Times New Roman"/>
          <w:b w:val="false"/>
          <w:i w:val="false"/>
          <w:color w:val="000000"/>
          <w:sz w:val="22"/>
        </w:rPr>
        <w:t> </w:t>
      </w:r>
      <w:r>
        <w:rPr>
          <w:rFonts w:ascii="Times New Roman" w:hAnsi="Times New Roman"/>
          <w:b w:val="false"/>
          <w:i/>
          <w:color w:val="000000"/>
          <w:sz w:val="22"/>
        </w:rPr>
        <w:t xml:space="preserve">“Party” </w:t>
      </w:r>
      <w:r>
        <w:rPr>
          <w:rFonts w:ascii="Times New Roman" w:hAnsi="Times New Roman"/>
          <w:b w:val="false"/>
          <w:i w:val="false"/>
          <w:color w:val="000000"/>
          <w:sz w:val="22"/>
        </w:rPr>
        <w:t>as used in these rules shall mean any person, employee organization or public employer who has filed a petition or complaint under the Act or these rules; who has been named as a party in a complaint, petition or other matter under these rules; or whose motion to intervene has been granted by the board.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1.6(5)</w:t>
      </w:r>
      <w:r>
        <w:rPr>
          <w:rFonts w:ascii="Times New Roman" w:hAnsi="Times New Roman"/>
          <w:b w:val="false"/>
          <w:i w:val="false"/>
          <w:color w:val="000000"/>
          <w:sz w:val="22"/>
        </w:rPr>
        <w:t> </w:t>
      </w:r>
      <w:r>
        <w:rPr>
          <w:rFonts w:ascii="Times New Roman" w:hAnsi="Times New Roman"/>
          <w:b w:val="false"/>
          <w:i/>
          <w:color w:val="000000"/>
          <w:sz w:val="22"/>
        </w:rPr>
        <w:t xml:space="preserve">“Impasse item” </w:t>
      </w:r>
      <w:r>
        <w:rPr>
          <w:rFonts w:ascii="Times New Roman" w:hAnsi="Times New Roman"/>
          <w:b w:val="false"/>
          <w:i w:val="false"/>
          <w:color w:val="000000"/>
          <w:sz w:val="22"/>
        </w:rPr>
        <w:t xml:space="preserve">means any term which was a subject of negotiations and proposed to be included in a collective bargaining agreement upon which the parties have failed to reach agreement in the course of negotiations, except as provided for in </w:t>
      </w:r>
      <w:hyperlink r:id="rId8">
        <w:r>
          <w:rPr>
            <w:rStyle w:val="Hyperlink"/>
            <w:rFonts w:ascii="Times New Roman" w:hAnsi="Times New Roman"/>
            <w:b w:val="false"/>
            <w:i w:val="false"/>
            <w:color w:val="000000"/>
            <w:sz w:val="22"/>
          </w:rPr>
          <w:t>621—6.1</w:t>
        </w:r>
      </w:hyperlink>
      <w:r>
        <w:rPr>
          <w:rFonts w:ascii="Times New Roman" w:hAnsi="Times New Roman"/>
          <w:b w:val="false"/>
          <w:i w:val="false"/>
          <w:color w:val="000000"/>
          <w:sz w:val="22"/>
        </w:rPr>
        <w:t>(20). Failure of the parties to agree upon impasse procedures shall not constitute an impasse item or compel implementation of impasse procedures.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1.6(6)</w:t>
      </w:r>
      <w:r>
        <w:rPr>
          <w:rFonts w:ascii="Times New Roman" w:hAnsi="Times New Roman"/>
          <w:b w:val="false"/>
          <w:i w:val="false"/>
          <w:color w:val="000000"/>
          <w:sz w:val="22"/>
        </w:rPr>
        <w:t> </w:t>
      </w:r>
      <w:r>
        <w:rPr>
          <w:rFonts w:ascii="Times New Roman" w:hAnsi="Times New Roman"/>
          <w:b w:val="false"/>
          <w:i/>
          <w:color w:val="000000"/>
          <w:sz w:val="22"/>
        </w:rPr>
        <w:t xml:space="preserve">“Impasse procedures” </w:t>
      </w:r>
      <w:r>
        <w:rPr>
          <w:rFonts w:ascii="Times New Roman" w:hAnsi="Times New Roman"/>
          <w:b w:val="false"/>
          <w:i w:val="false"/>
          <w:color w:val="000000"/>
          <w:sz w:val="22"/>
        </w:rPr>
        <w:t xml:space="preserve">means either the procedures set forth in Iowa Code sections </w:t>
      </w:r>
      <w:hyperlink r:id="rId9">
        <w:r>
          <w:rPr>
            <w:rStyle w:val="Hyperlink"/>
            <w:rFonts w:ascii="Times New Roman" w:hAnsi="Times New Roman"/>
            <w:b w:val="false"/>
            <w:i w:val="false"/>
            <w:color w:val="000000"/>
            <w:sz w:val="22"/>
          </w:rPr>
          <w:t>20.20</w:t>
        </w:r>
      </w:hyperlink>
      <w:r>
        <w:rPr>
          <w:rFonts w:ascii="Times New Roman" w:hAnsi="Times New Roman"/>
          <w:b w:val="false"/>
          <w:i w:val="false"/>
          <w:color w:val="000000"/>
          <w:sz w:val="22"/>
        </w:rPr>
        <w:t xml:space="preserve"> and </w:t>
      </w:r>
      <w:hyperlink r:id="rId10">
        <w:r>
          <w:rPr>
            <w:rStyle w:val="Hyperlink"/>
            <w:rFonts w:ascii="Times New Roman" w:hAnsi="Times New Roman"/>
            <w:b w:val="false"/>
            <w:i w:val="false"/>
            <w:color w:val="000000"/>
            <w:sz w:val="22"/>
          </w:rPr>
          <w:t>20.22</w:t>
        </w:r>
      </w:hyperlink>
      <w:r>
        <w:rPr>
          <w:rFonts w:ascii="Times New Roman" w:hAnsi="Times New Roman"/>
          <w:b w:val="false"/>
          <w:i w:val="false"/>
          <w:color w:val="000000"/>
          <w:sz w:val="22"/>
        </w:rPr>
        <w:t xml:space="preserve"> or any procedures agreed upon by the parties pursuant to Iowa Code section </w:t>
      </w:r>
      <w:hyperlink r:id="rId11">
        <w:r>
          <w:rPr>
            <w:rStyle w:val="Hyperlink"/>
            <w:rFonts w:ascii="Times New Roman" w:hAnsi="Times New Roman"/>
            <w:b w:val="false"/>
            <w:i w:val="false"/>
            <w:color w:val="000000"/>
            <w:sz w:val="22"/>
          </w:rPr>
          <w:t>20.19</w:t>
        </w:r>
      </w:hyperlink>
      <w:r>
        <w:rPr>
          <w:rFonts w:ascii="Times New Roman" w:hAnsi="Times New Roman"/>
          <w:b w:val="false"/>
          <w:i w:val="false"/>
          <w:color w:val="000000"/>
          <w:sz w:val="22"/>
        </w:rPr>
        <w:t xml:space="preserve"> which are designed to result in a binding collective bargaining agreement.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1.6(7)</w:t>
      </w:r>
      <w:r>
        <w:rPr>
          <w:rFonts w:ascii="Times New Roman" w:hAnsi="Times New Roman"/>
          <w:b w:val="false"/>
          <w:i w:val="false"/>
          <w:color w:val="000000"/>
          <w:sz w:val="22"/>
        </w:rPr>
        <w:t> </w:t>
      </w:r>
      <w:r>
        <w:rPr>
          <w:rFonts w:ascii="Times New Roman" w:hAnsi="Times New Roman"/>
          <w:b w:val="false"/>
          <w:i/>
          <w:color w:val="000000"/>
          <w:sz w:val="22"/>
        </w:rPr>
        <w:t xml:space="preserve">“Contested case” </w:t>
      </w:r>
      <w:r>
        <w:rPr>
          <w:rFonts w:ascii="Times New Roman" w:hAnsi="Times New Roman"/>
          <w:b w:val="false"/>
          <w:i w:val="false"/>
          <w:color w:val="000000"/>
          <w:sz w:val="22"/>
        </w:rPr>
        <w:t xml:space="preserve">means a proceeding defined by Iowa Code section </w:t>
      </w:r>
      <w:hyperlink r:id="rId12">
        <w:r>
          <w:rPr>
            <w:rStyle w:val="Hyperlink"/>
            <w:rFonts w:ascii="Times New Roman" w:hAnsi="Times New Roman"/>
            <w:b w:val="false"/>
            <w:i w:val="false"/>
            <w:color w:val="000000"/>
            <w:sz w:val="22"/>
          </w:rPr>
          <w:t>17A.2(5)</w:t>
        </w:r>
      </w:hyperlink>
      <w:r>
        <w:rPr>
          <w:rFonts w:ascii="Times New Roman" w:hAnsi="Times New Roman"/>
          <w:b w:val="false"/>
          <w:i w:val="false"/>
          <w:color w:val="000000"/>
          <w:sz w:val="22"/>
        </w:rPr>
        <w:t xml:space="preserve"> and includes any matter defined as a no factual dispute contested case under </w:t>
      </w:r>
      <w:r>
        <w:rPr>
          <w:rFonts w:ascii="Times New Roman" w:hAnsi="Times New Roman"/>
          <w:b w:val="false"/>
          <w:i w:val="false"/>
          <w:color w:val="000000"/>
          <w:sz w:val="22"/>
        </w:rPr>
        <w:t>1998 Iowa Acts, chapter 1202, section 14</w:t>
      </w:r>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1.6(8)</w:t>
      </w:r>
      <w:r>
        <w:rPr>
          <w:rFonts w:ascii="Times New Roman" w:hAnsi="Times New Roman"/>
          <w:b w:val="false"/>
          <w:i w:val="false"/>
          <w:color w:val="000000"/>
          <w:sz w:val="22"/>
        </w:rPr>
        <w:t> </w:t>
      </w:r>
      <w:r>
        <w:rPr>
          <w:rFonts w:ascii="Times New Roman" w:hAnsi="Times New Roman"/>
          <w:b w:val="false"/>
          <w:i/>
          <w:color w:val="000000"/>
          <w:sz w:val="22"/>
        </w:rPr>
        <w:t xml:space="preserve">“Adjudicatory proceeding” </w:t>
      </w:r>
      <w:r>
        <w:rPr>
          <w:rFonts w:ascii="Times New Roman" w:hAnsi="Times New Roman"/>
          <w:b w:val="false"/>
          <w:i w:val="false"/>
          <w:color w:val="000000"/>
          <w:sz w:val="22"/>
        </w:rPr>
        <w:t>means a contested case, a proceeding that may culminate in a contested case, a petition for declaratory order, a petition for expedited resolution of a negotiability dispute, or any other proceeding which may require the board or its designee to issue a decision, order, or ruling.</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1.6(9)</w:t>
      </w:r>
      <w:r>
        <w:rPr>
          <w:rFonts w:ascii="Times New Roman" w:hAnsi="Times New Roman"/>
          <w:b w:val="false"/>
          <w:i w:val="false"/>
          <w:color w:val="000000"/>
          <w:sz w:val="22"/>
        </w:rPr>
        <w:t> </w:t>
      </w:r>
      <w:r>
        <w:rPr>
          <w:rFonts w:ascii="Times New Roman" w:hAnsi="Times New Roman"/>
          <w:b w:val="false"/>
          <w:i/>
          <w:color w:val="000000"/>
          <w:sz w:val="22"/>
        </w:rPr>
        <w:t xml:space="preserve">“Agency” </w:t>
      </w:r>
      <w:r>
        <w:rPr>
          <w:rFonts w:ascii="Times New Roman" w:hAnsi="Times New Roman"/>
          <w:b w:val="false"/>
          <w:i w:val="false"/>
          <w:color w:val="000000"/>
          <w:sz w:val="22"/>
        </w:rPr>
        <w:t>as used in these rules means the public employment relations board and the board’s employees.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1.6(10)</w:t>
      </w:r>
      <w:r>
        <w:rPr>
          <w:rFonts w:ascii="Times New Roman" w:hAnsi="Times New Roman"/>
          <w:b w:val="false"/>
          <w:i w:val="false"/>
          <w:color w:val="000000"/>
          <w:sz w:val="22"/>
        </w:rPr>
        <w:t> </w:t>
      </w:r>
      <w:r>
        <w:rPr>
          <w:rFonts w:ascii="Times New Roman" w:hAnsi="Times New Roman"/>
          <w:b w:val="false"/>
          <w:i/>
          <w:color w:val="000000"/>
          <w:sz w:val="22"/>
        </w:rPr>
        <w:t xml:space="preserve">“Confidential information” </w:t>
      </w:r>
      <w:r>
        <w:rPr>
          <w:rFonts w:ascii="Times New Roman" w:hAnsi="Times New Roman"/>
          <w:b w:val="false"/>
          <w:i w:val="false"/>
          <w:color w:val="000000"/>
          <w:sz w:val="22"/>
        </w:rPr>
        <w:t>means information excluded from public access by federal or state law or administrative rule, court rule, court or administrative order, or case law.</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1.6(11)</w:t>
      </w:r>
      <w:r>
        <w:rPr>
          <w:rFonts w:ascii="Times New Roman" w:hAnsi="Times New Roman"/>
          <w:b w:val="false"/>
          <w:i w:val="false"/>
          <w:color w:val="000000"/>
          <w:sz w:val="22"/>
        </w:rPr>
        <w:t> </w:t>
      </w:r>
      <w:r>
        <w:rPr>
          <w:rFonts w:ascii="Times New Roman" w:hAnsi="Times New Roman"/>
          <w:b w:val="false"/>
          <w:i/>
          <w:color w:val="000000"/>
          <w:sz w:val="22"/>
        </w:rPr>
        <w:t xml:space="preserve">“Protected information” </w:t>
      </w:r>
      <w:r>
        <w:rPr>
          <w:rFonts w:ascii="Times New Roman" w:hAnsi="Times New Roman"/>
          <w:b w:val="false"/>
          <w:i w:val="false"/>
          <w:color w:val="000000"/>
          <w:sz w:val="22"/>
        </w:rPr>
        <w:t>means personal information, the nature of which warrants protection from unlimited public access, including: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Social security numbers.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Financial account numbers.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Dates of birth.</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Names of minor children.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Individual taxpayer identification numbers.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Personal identification numbers.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Other unique identifying numbers.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h.</w:t>
      </w:r>
      <w:r>
        <w:rPr>
          <w:rFonts w:ascii="Times New Roman" w:hAnsi="Times New Roman"/>
          <w:b w:val="false"/>
          <w:i w:val="false"/>
          <w:color w:val="000000"/>
          <w:sz w:val="22"/>
        </w:rPr>
        <w:t>  </w:t>
      </w:r>
      <w:r>
        <w:rPr>
          <w:rFonts w:ascii="Times New Roman" w:hAnsi="Times New Roman"/>
          <w:b w:val="false"/>
          <w:i w:val="false"/>
          <w:color w:val="000000"/>
          <w:sz w:val="22"/>
        </w:rPr>
        <w:t>Confidential information.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1.6(12)</w:t>
      </w:r>
      <w:r>
        <w:rPr>
          <w:rFonts w:ascii="Times New Roman" w:hAnsi="Times New Roman"/>
          <w:b w:val="false"/>
          <w:i w:val="false"/>
          <w:color w:val="000000"/>
          <w:sz w:val="22"/>
        </w:rPr>
        <w:t> </w:t>
      </w:r>
      <w:r>
        <w:rPr>
          <w:rFonts w:ascii="Times New Roman" w:hAnsi="Times New Roman"/>
          <w:b w:val="false"/>
          <w:i/>
          <w:color w:val="000000"/>
          <w:sz w:val="22"/>
        </w:rPr>
        <w:t>“Public safety employee”</w:t>
      </w:r>
      <w:r>
        <w:rPr>
          <w:rFonts w:ascii="Times New Roman" w:hAnsi="Times New Roman"/>
          <w:b w:val="false"/>
          <w:i w:val="false"/>
          <w:color w:val="000000"/>
          <w:sz w:val="22"/>
        </w:rPr>
        <w:t xml:space="preserve"> means a public employee who is employed as one of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 sheriff’s regular deputy.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A marshal or police officer of a city, township, or special-purpose district or authority who is a member of a paid police department.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 xml:space="preserve">A member, except a non-peace officer member, of the division of state patrol, narcotics enforcement, state fire marshal, or criminal investigation, including but not limited to a gaming enforcement officer, who has been duly appointed by the department of public safety in accordance with Iowa Code section </w:t>
      </w:r>
      <w:hyperlink r:id="rId13">
        <w:r>
          <w:rPr>
            <w:rStyle w:val="Hyperlink"/>
            <w:rFonts w:ascii="Times New Roman" w:hAnsi="Times New Roman"/>
            <w:b w:val="false"/>
            <w:i w:val="false"/>
            <w:color w:val="000000"/>
            <w:sz w:val="22"/>
          </w:rPr>
          <w:t>80.15</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 xml:space="preserve">A conservation officer or park ranger as authorized by Iowa Code section </w:t>
      </w:r>
      <w:hyperlink r:id="rId14">
        <w:r>
          <w:rPr>
            <w:rStyle w:val="Hyperlink"/>
            <w:rFonts w:ascii="Times New Roman" w:hAnsi="Times New Roman"/>
            <w:b w:val="false"/>
            <w:i w:val="false"/>
            <w:color w:val="000000"/>
            <w:sz w:val="22"/>
          </w:rPr>
          <w:t>456A.13</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A permanent or full-time fire fighter of a city, township, or special-purpose district or authority who is a member of a paid fire department.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 xml:space="preserve">A peace officer designated by the department of transportation under Iowa Code section </w:t>
      </w:r>
      <w:hyperlink r:id="rId15">
        <w:r>
          <w:rPr>
            <w:rStyle w:val="Hyperlink"/>
            <w:rFonts w:ascii="Times New Roman" w:hAnsi="Times New Roman"/>
            <w:b w:val="false"/>
            <w:i w:val="false"/>
            <w:color w:val="000000"/>
            <w:sz w:val="22"/>
          </w:rPr>
          <w:t>321.477</w:t>
        </w:r>
      </w:hyperlink>
      <w:r>
        <w:rPr>
          <w:rFonts w:ascii="Times New Roman" w:hAnsi="Times New Roman"/>
          <w:b w:val="false"/>
          <w:i w:val="false"/>
          <w:color w:val="000000"/>
          <w:sz w:val="22"/>
        </w:rPr>
        <w:t xml:space="preserve"> who is subject to mandated law enforcement training.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1.6(13)</w:t>
      </w:r>
      <w:r>
        <w:rPr>
          <w:rFonts w:ascii="Times New Roman" w:hAnsi="Times New Roman"/>
          <w:b w:val="false"/>
          <w:i w:val="false"/>
          <w:color w:val="000000"/>
          <w:sz w:val="22"/>
        </w:rPr>
        <w:t> </w:t>
      </w:r>
      <w:r>
        <w:rPr>
          <w:rFonts w:ascii="Times New Roman" w:hAnsi="Times New Roman"/>
          <w:b w:val="false"/>
          <w:i/>
          <w:color w:val="000000"/>
          <w:sz w:val="22"/>
        </w:rPr>
        <w:t>“Public safety unit”</w:t>
      </w:r>
      <w:r>
        <w:rPr>
          <w:rFonts w:ascii="Times New Roman" w:hAnsi="Times New Roman"/>
          <w:b w:val="false"/>
          <w:i w:val="false"/>
          <w:color w:val="000000"/>
          <w:sz w:val="22"/>
        </w:rPr>
        <w:t xml:space="preserve"> means a bargaining unit with at least 30 percent of employees in the unit who are public safety employees or as required by Iowa Code section </w:t>
      </w:r>
      <w:hyperlink r:id="rId16">
        <w:r>
          <w:rPr>
            <w:rStyle w:val="Hyperlink"/>
            <w:rFonts w:ascii="Times New Roman" w:hAnsi="Times New Roman"/>
            <w:b w:val="false"/>
            <w:i w:val="false"/>
            <w:color w:val="000000"/>
            <w:sz w:val="22"/>
          </w:rPr>
          <w:t>20.32</w:t>
        </w:r>
      </w:hyperlink>
      <w:r>
        <w:rPr>
          <w:rFonts w:ascii="Times New Roman" w:hAnsi="Times New Roman"/>
          <w:b w:val="false"/>
          <w:i w:val="false"/>
          <w:color w:val="000000"/>
          <w:sz w:val="22"/>
        </w:rPr>
        <w:t xml:space="preserve"> for certain transit employees.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1.6(14)</w:t>
      </w:r>
      <w:r>
        <w:rPr>
          <w:rFonts w:ascii="Times New Roman" w:hAnsi="Times New Roman"/>
          <w:b w:val="false"/>
          <w:i w:val="false"/>
          <w:color w:val="000000"/>
          <w:sz w:val="22"/>
        </w:rPr>
        <w:t> </w:t>
      </w:r>
      <w:r>
        <w:rPr>
          <w:rFonts w:ascii="Times New Roman" w:hAnsi="Times New Roman"/>
          <w:b w:val="false"/>
          <w:i/>
          <w:color w:val="000000"/>
          <w:sz w:val="22"/>
        </w:rPr>
        <w:t>“Supplemental pay”</w:t>
      </w:r>
      <w:r>
        <w:rPr>
          <w:rFonts w:ascii="Times New Roman" w:hAnsi="Times New Roman"/>
          <w:b w:val="false"/>
          <w:i w:val="false"/>
          <w:color w:val="000000"/>
          <w:sz w:val="22"/>
        </w:rPr>
        <w:t xml:space="preserve"> means a payment of moneys or other thing of value that is in addition to compensation received pursuant to any other permitted subject of negotiation specified in Iowa Code section </w:t>
      </w:r>
      <w:hyperlink r:id="rId17">
        <w:r>
          <w:rPr>
            <w:rStyle w:val="Hyperlink"/>
            <w:rFonts w:ascii="Times New Roman" w:hAnsi="Times New Roman"/>
            <w:b w:val="false"/>
            <w:i w:val="false"/>
            <w:color w:val="000000"/>
            <w:sz w:val="22"/>
          </w:rPr>
          <w:t>20.9</w:t>
        </w:r>
      </w:hyperlink>
      <w:r>
        <w:rPr>
          <w:rFonts w:ascii="Times New Roman" w:hAnsi="Times New Roman"/>
          <w:b w:val="false"/>
          <w:i w:val="false"/>
          <w:color w:val="000000"/>
          <w:sz w:val="22"/>
        </w:rPr>
        <w:t xml:space="preserve"> and is related to the employment relationship.</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8953B</w:t>
      </w:r>
      <w:r>
        <w:rPr>
          <w:rFonts w:ascii="Times New Roman" w:hAnsi="Times New Roman"/>
          <w:b w:val="false"/>
          <w:i w:val="false"/>
          <w:color w:val="000000"/>
          <w:sz w:val="16"/>
        </w:rPr>
        <w:t>, IAB 7/28/10, effective 9/1/10</w:t>
      </w:r>
      <w:r>
        <w:rPr>
          <w:rFonts w:ascii="Times New Roman" w:hAnsi="Times New Roman"/>
          <w:b w:val="false"/>
          <w:i w:val="false"/>
          <w:color w:val="000000"/>
          <w:sz w:val="16"/>
        </w:rPr>
        <w:t xml:space="preserve">; </w:t>
      </w:r>
      <w:r>
        <w:rPr>
          <w:rFonts w:ascii="Times New Roman" w:hAnsi="Times New Roman"/>
          <w:b/>
          <w:i w:val="false"/>
          <w:color w:val="000000"/>
          <w:sz w:val="16"/>
        </w:rPr>
        <w:t>ARC 1583C</w:t>
      </w:r>
      <w:r>
        <w:rPr>
          <w:rFonts w:ascii="Times New Roman" w:hAnsi="Times New Roman"/>
          <w:b w:val="false"/>
          <w:i w:val="false"/>
          <w:color w:val="000000"/>
          <w:sz w:val="16"/>
        </w:rPr>
        <w:t>, IAB 8/20/14, effective 9/24/14</w:t>
      </w:r>
      <w:r>
        <w:rPr>
          <w:rFonts w:ascii="Times New Roman" w:hAnsi="Times New Roman"/>
          <w:b w:val="false"/>
          <w:i w:val="false"/>
          <w:color w:val="000000"/>
          <w:sz w:val="16"/>
        </w:rPr>
        <w:t xml:space="preserve">; </w:t>
      </w:r>
      <w:r>
        <w:rPr>
          <w:rFonts w:ascii="Times New Roman" w:hAnsi="Times New Roman"/>
          <w:b/>
          <w:i w:val="false"/>
          <w:color w:val="000000"/>
          <w:sz w:val="16"/>
        </w:rPr>
        <w:t>ARC 3278C</w:t>
      </w:r>
      <w:r>
        <w:rPr>
          <w:rFonts w:ascii="Times New Roman" w:hAnsi="Times New Roman"/>
          <w:b w:val="false"/>
          <w:i w:val="false"/>
          <w:color w:val="000000"/>
          <w:sz w:val="16"/>
        </w:rPr>
        <w:t>, IAB 8/30/17, effective 8/10/17</w:t>
      </w:r>
      <w:r>
        <w:rPr>
          <w:rFonts w:ascii="Times New Roman" w:hAnsi="Times New Roman"/>
          <w:b w:val="false"/>
          <w:i w:val="false"/>
          <w:color w:val="000000"/>
          <w:sz w:val="16"/>
        </w:rPr>
        <w:t xml:space="preserve">; </w:t>
      </w:r>
      <w:r>
        <w:rPr>
          <w:rFonts w:ascii="Times New Roman" w:hAnsi="Times New Roman"/>
          <w:b/>
          <w:i w:val="false"/>
          <w:color w:val="000000"/>
          <w:sz w:val="16"/>
        </w:rPr>
        <w:t>ARC 4457C</w:t>
      </w:r>
      <w:r>
        <w:rPr>
          <w:rFonts w:ascii="Times New Roman" w:hAnsi="Times New Roman"/>
          <w:b w:val="false"/>
          <w:i w:val="false"/>
          <w:color w:val="000000"/>
          <w:sz w:val="16"/>
        </w:rPr>
        <w:t>, IAB 5/22/19, effective 6/26/19</w:t>
      </w:r>
      <w:r>
        <w:rPr>
          <w:rFonts w:ascii="Times New Roman" w:hAnsi="Times New Roman"/>
          <w:b w:val="false"/>
          <w:i w:val="false"/>
          <w:color w:val="000000"/>
          <w:sz w:val="16"/>
        </w:rPr>
        <w:t>]</w:t>
      </w:r>
    </w:p>
    <w:sectPr>
      <w:footerReference r:id="rId18"/>
      <w:pgSz w:w="11907" w:h="16839" w:code="9"/>
      <w:pgMar w:top="1440" w:right="1440" w:bottom="1440" w:left="1440"/>
    </w:sectPr>
  </w:body>
</w:document>
</file>

<file path=word/footer.xml><?xml version="1.0" encoding="utf-8"?>
<w:ftr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tbl>
    <w:tblPr>
      <w:tblW w:w="0" w:type="auto"/>
      <w:tblCellSpacing w:w="20" w:type="dxa"/>
      <w:tblBorders>
        <w:top w:val="none"/>
        <w:left w:val="none"/>
        <w:bottom w:val="none"/>
        <w:right w:val="none"/>
        <w:insideH w:val="none"/>
        <w:insideV w:val="none"/>
      </w:tblBorders>
    </w:tblPr>
    <w:tblGrid>
      <w:gridCol w:w="672"/>
      <w:gridCol w:w="672"/>
      <w:gridCol w:w="9523"/>
    </w:tblGrid>
    <w:tr>
      <w:trPr>
        <w:trHeight w:val="285" w:hRule="atLeast"/>
      </w:trPr>
      <w:tc>
        <w:tcPr>
          <w:tcW w:w="672" w:type="dxa"/>
          <w:tcBorders/>
          <w:tcMar>
            <w:top w:w="15" w:type="dxa"/>
            <w:left w:w="15" w:type="dxa"/>
            <w:bottom w:w="15" w:type="dxa"/>
            <w:right w:w="15" w:type="dxa"/>
          </w:tcMar>
          <w:vAlign w:val="center"/>
        </w:tcPr>
        <w:p/>
      </w:tc>
      <w:tc>
        <w:tcPr>
          <w:tcW w:w="672" w:type="dxa"/>
          <w:tcBorders/>
          <w:tcMar>
            <w:top w:w="15" w:type="dxa"/>
            <w:left w:w="15" w:type="dxa"/>
            <w:bottom w:w="15" w:type="dxa"/>
            <w:right w:w="15" w:type="dxa"/>
          </w:tcMar>
          <w:vAlign w:val="center"/>
        </w:tcPr>
        <w:p/>
      </w:tc>
      <w:tc>
        <w:tcPr>
          <w:tcW w:w="9523" w:type="dxa"/>
          <w:tcBorders/>
          <w:tcMar>
            <w:top w:w="15" w:type="dxa"/>
            <w:left w:w="15" w:type="dxa"/>
            <w:bottom w:w="15" w:type="dxa"/>
            <w:right w:w="15" w:type="dxa"/>
          </w:tcMar>
          <w:vAlign w:val="center"/>
        </w:tcPr>
        <w:p>
          <w:pPr>
            <w:spacing w:before="0" w:after="0"/>
            <w:ind w:left="0"/>
            <w:jc w:val="right"/>
          </w:pPr>
          <w:r>
            <w:rPr>
              <w:rFonts w:ascii="Times New Roman" w:hAnsi="Times New Roman"/>
              <w:b w:val="false"/>
              <w:i w:val="false"/>
              <w:color w:val="000000"/>
              <w:sz w:val="22"/>
            </w:rPr>
            <w:t>, v _</w:t>
          </w:r>
        </w:p>
      </w:tc>
    </w:tr>
  </w:tbl>
</w:ftr>
</file>

<file path=word/numbering.xml><?xml version="1.0" encoding="utf-8"?>
<w:numbering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file>

<file path=word/settings.xml><?xml version="1.0" encoding="utf-8"?>
<w:setting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co/chapter/20.pdf" Type="http://schemas.openxmlformats.org/officeDocument/2006/relationships/hyperlink" Id="rId4"/>
    <Relationship TargetMode="External" Target="https://www.legis.iowa.gov/docs/ico/chapter/20.13.pdf" Type="http://schemas.openxmlformats.org/officeDocument/2006/relationships/hyperlink" Id="rId5"/>
    <Relationship TargetMode="External" Target="https://www.legis.iowa.gov/docs/ico/chapter/20.14.pdf" Type="http://schemas.openxmlformats.org/officeDocument/2006/relationships/hyperlink" Id="rId6"/>
    <Relationship TargetMode="External" Target="https://www.legis.iowa.gov/docs/ico/chapter/20.11.pdf" Type="http://schemas.openxmlformats.org/officeDocument/2006/relationships/hyperlink" Id="rId7"/>
    <Relationship TargetMode="External" Target="https://www.legis.iowa.gov/docs/iac/rule/621.6.1.pdf" Type="http://schemas.openxmlformats.org/officeDocument/2006/relationships/hyperlink" Id="rId8"/>
    <Relationship TargetMode="External" Target="https://www.legis.iowa.gov/docs/ico/chapter/20.20.pdf" Type="http://schemas.openxmlformats.org/officeDocument/2006/relationships/hyperlink" Id="rId9"/>
    <Relationship TargetMode="External" Target="https://www.legis.iowa.gov/docs/ico/chapter/20.22.pdf" Type="http://schemas.openxmlformats.org/officeDocument/2006/relationships/hyperlink" Id="rId10"/>
    <Relationship TargetMode="External" Target="https://www.legis.iowa.gov/docs/ico/chapter/20.19.pdf" Type="http://schemas.openxmlformats.org/officeDocument/2006/relationships/hyperlink" Id="rId11"/>
    <Relationship TargetMode="External" Target="https://www.legis.iowa.gov/docs/ico/chapter/17A.2.pdf" Type="http://schemas.openxmlformats.org/officeDocument/2006/relationships/hyperlink" Id="rId12"/>
    <Relationship TargetMode="External" Target="https://www.legis.iowa.gov/docs/ico/chapter/80.15.pdf" Type="http://schemas.openxmlformats.org/officeDocument/2006/relationships/hyperlink" Id="rId13"/>
    <Relationship TargetMode="External" Target="https://www.legis.iowa.gov/docs/ico/chapter/456A.13.pdf" Type="http://schemas.openxmlformats.org/officeDocument/2006/relationships/hyperlink" Id="rId14"/>
    <Relationship TargetMode="External" Target="https://www.legis.iowa.gov/docs/ico/chapter/321.477.pdf" Type="http://schemas.openxmlformats.org/officeDocument/2006/relationships/hyperlink" Id="rId15"/>
    <Relationship TargetMode="External" Target="https://www.legis.iowa.gov/docs/ico/chapter/20.32.pdf" Type="http://schemas.openxmlformats.org/officeDocument/2006/relationships/hyperlink" Id="rId16"/>
    <Relationship TargetMode="External" Target="https://www.legis.iowa.gov/docs/ico/chapter/20.pdf" Type="http://schemas.openxmlformats.org/officeDocument/2006/relationships/hyperlink" Id="rId17"/>
    <Relationship Target="footer.xml" Type="http://schemas.openxmlformats.org/officeDocument/2006/relationships/footer" Id="rId18"/>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