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621—1.3</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course and method of operation. </w:t>
      </w:r>
      <w:r>
        <w:rPr>
          <w:rFonts w:ascii="Times New Roman" w:hAnsi="Times New Roman"/>
          <w:b w:val="false"/>
          <w:i w:val="false"/>
          <w:color w:val="000000"/>
          <w:sz w:val="22"/>
        </w:rPr>
        <w:t>Upon receipt of a petition or complaint, the board may assign an administrative law judge to process the case. The board may determine that the petition or complaint is without basis and dismiss it without further proceedings. Petitions and complaints not dismissed are assigned for a hearing before either an administrative law judge or the board, unless the procedures for informal settlement described in these rules are followed. The administrative law judge or the board will conduct a hearing on the complaint or petition and issue a decision and order. The decisions of administrative law judges are appealable to the board, and final orders and decisions of the board are appealable to the district court under the Iowa administrative procedure Act.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