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621—1.2</w:t>
      </w:r>
      <w:r>
        <w:rPr>
          <w:rFonts w:ascii="Times New Roman" w:hAnsi="Times New Roman"/>
          <w:b/>
          <w:i w:val="false"/>
          <w:color w:val="000000"/>
          <w:sz w:val="22"/>
        </w:rPr>
        <w:t xml:space="preserve">(20) </w:t>
      </w:r>
      <w:r>
        <w:rPr>
          <w:rFonts w:ascii="Times New Roman" w:hAnsi="Times New Roman"/>
          <w:b/>
          <w:i w:val="false"/>
          <w:color w:val="000000"/>
          <w:sz w:val="22"/>
        </w:rPr>
        <w:t xml:space="preserve">General agency description. </w:t>
      </w:r>
      <w:r>
        <w:rPr>
          <w:rFonts w:ascii="Times New Roman" w:hAnsi="Times New Roman"/>
          <w:b w:val="false"/>
          <w:i w:val="false"/>
          <w:color w:val="000000"/>
          <w:sz w:val="22"/>
        </w:rPr>
        <w:t>The purpose of the public employment relations board established by the Public Employment Relations Act is to implement the provisions of the Act and adjudicate and conciliate employment related cases involving the state of Iowa and other public employers and employee organizations. For these purposes the powers and duties of the board include, but are not limited to, the following:</w:t>
      </w:r>
    </w:p>
    <w:p>
      <w:pPr>
        <w:spacing w:before="0" w:after="0"/>
        <w:ind w:left="120"/>
        <w:jc w:val="both"/>
      </w:pPr>
      <w:r>
        <w:rPr>
          <w:rFonts w:ascii="Times New Roman" w:hAnsi="Times New Roman"/>
          <w:b w:val="false"/>
          <w:i w:val="false"/>
          <w:color w:val="000000"/>
          <w:sz w:val="22"/>
        </w:rPr>
        <w:t>Determining appropriate bargaining units and conducting representation elections.</w:t>
      </w:r>
    </w:p>
    <w:p>
      <w:pPr>
        <w:spacing w:before="0" w:after="0"/>
        <w:ind w:left="120"/>
        <w:jc w:val="both"/>
      </w:pPr>
      <w:r>
        <w:rPr>
          <w:rFonts w:ascii="Times New Roman" w:hAnsi="Times New Roman"/>
          <w:b w:val="false"/>
          <w:i w:val="false"/>
          <w:color w:val="000000"/>
          <w:sz w:val="22"/>
        </w:rPr>
        <w:t>Adjudicating prohibited practice complaints and fashioning appropriate remedial relief for violations of the Act.</w:t>
      </w:r>
    </w:p>
    <w:p>
      <w:pPr>
        <w:spacing w:before="0" w:after="0"/>
        <w:ind w:left="120"/>
        <w:jc w:val="both"/>
      </w:pPr>
      <w:r>
        <w:rPr>
          <w:rFonts w:ascii="Times New Roman" w:hAnsi="Times New Roman"/>
          <w:b w:val="false"/>
          <w:i w:val="false"/>
          <w:color w:val="000000"/>
          <w:sz w:val="22"/>
        </w:rPr>
        <w:t>Adjudicating and serving as arbitrators regarding state merit system grievances and grievances arising under collective bargaining agreements between public employers and certified employee organizations.</w:t>
      </w:r>
    </w:p>
    <w:p>
      <w:pPr>
        <w:spacing w:before="0" w:after="0"/>
        <w:ind w:left="120"/>
        <w:jc w:val="both"/>
      </w:pPr>
      <w:r>
        <w:rPr>
          <w:rFonts w:ascii="Times New Roman" w:hAnsi="Times New Roman"/>
          <w:b w:val="false"/>
          <w:i w:val="false"/>
          <w:color w:val="000000"/>
          <w:sz w:val="22"/>
        </w:rPr>
        <w:t>Providing mediators and arbitrators to resolve impasses in negotiations.</w:t>
      </w:r>
    </w:p>
    <w:p>
      <w:pPr>
        <w:spacing w:before="0" w:after="0"/>
        <w:ind w:left="120"/>
        <w:jc w:val="both"/>
      </w:pPr>
      <w:r>
        <w:rPr>
          <w:rFonts w:ascii="Times New Roman" w:hAnsi="Times New Roman"/>
          <w:b w:val="false"/>
          <w:i w:val="false"/>
          <w:color w:val="000000"/>
          <w:sz w:val="22"/>
        </w:rPr>
        <w:t>Collecting and disseminating information concerning the wages, hours, and other conditions of employment of public employees.</w:t>
      </w:r>
    </w:p>
    <w:p>
      <w:pPr>
        <w:spacing w:before="0" w:after="0"/>
        <w:ind w:left="120"/>
        <w:jc w:val="both"/>
      </w:pPr>
      <w:r>
        <w:rPr>
          <w:rFonts w:ascii="Times New Roman" w:hAnsi="Times New Roman"/>
          <w:b w:val="false"/>
          <w:i w:val="false"/>
          <w:color w:val="000000"/>
          <w:sz w:val="22"/>
        </w:rPr>
        <w:t>Preparing legal briefs and presenting oral arguments in the district courts, the court of appeals and the supreme court in cases affecting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8953B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