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621—1.1</w:t>
      </w:r>
      <w:r>
        <w:rPr>
          <w:rFonts w:ascii="Times New Roman" w:hAnsi="Times New Roman"/>
          <w:b/>
          <w:i w:val="false"/>
          <w:color w:val="000000"/>
          <w:sz w:val="22"/>
        </w:rPr>
        <w:t xml:space="preserve">(20) </w:t>
      </w:r>
      <w:r>
        <w:rPr>
          <w:rFonts w:ascii="Times New Roman" w:hAnsi="Times New Roman"/>
          <w:b/>
          <w:i w:val="false"/>
          <w:color w:val="000000"/>
          <w:sz w:val="22"/>
        </w:rPr>
        <w:t xml:space="preserve">Construction and severability. </w:t>
      </w:r>
      <w:r>
        <w:rPr>
          <w:rFonts w:ascii="Times New Roman" w:hAnsi="Times New Roman"/>
          <w:b w:val="false"/>
          <w:i w:val="false"/>
          <w:color w:val="000000"/>
          <w:sz w:val="22"/>
        </w:rPr>
        <w:t>These rules shall be liberally construed to effectuate the purposes and provisions of the public employment relations Act. If any provisions of these rules are held to be invalid, it shall not be construed to invalidate any of the other provisions of these rules.</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