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601—2.16</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agency other than record systems defined in rule </w:t>
      </w:r>
      <w:hyperlink r:id="rId4">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(17A,22). These records are routinely available to the public. However, the agency’s files of these records may contain confidential information, as discussed in rule </w:t>
      </w:r>
      <w:hyperlink r:id="rId5">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(17A,22). In addition, the records may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2.16(1)</w:t>
      </w:r>
      <w:r>
        <w:rPr>
          <w:rFonts w:ascii="Times New Roman" w:hAnsi="Times New Roman"/>
          <w:b w:val="false"/>
          <w:i w:val="false"/>
          <w:color w:val="000000"/>
          <w:sz w:val="22"/>
        </w:rPr>
        <w:t> </w:t>
      </w:r>
      <w:r>
        <w:rPr>
          <w:rFonts w:ascii="Times New Roman" w:hAnsi="Times New Roman"/>
          <w:b w:val="false"/>
          <w:i w:val="false"/>
          <w:color w:val="000000"/>
          <w:sz w:val="22"/>
        </w:rPr>
        <w:t xml:space="preserve">Rule making. Rule-making records may contain information about individuals making written or oral comments on proposed rules. This information is collected pursuant to Iowa Code section </w:t>
      </w:r>
      <w:hyperlink r:id="rId6">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This information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w:t>
      </w:r>
      <w:r>
        <w:rPr>
          <w:rFonts w:ascii="Times New Roman" w:hAnsi="Times New Roman"/>
          <w:b w:val="false"/>
          <w:i w:val="false"/>
          <w:color w:val="000000"/>
          <w:sz w:val="22"/>
        </w:rPr>
        <w:t> </w:t>
      </w:r>
      <w:r>
        <w:rPr>
          <w:rFonts w:ascii="Times New Roman" w:hAnsi="Times New Roman"/>
          <w:b w:val="false"/>
          <w:i w:val="false"/>
          <w:color w:val="000000"/>
          <w:sz w:val="22"/>
        </w:rPr>
        <w:t>Publications. News releases, literature, reports, newsletters from various military associations or from the federal government are available from the public affairs officer, department of public defense. Agency news releases, project reports and newsletters may contain information about individuals, including agency staff or members of agency committees. This information is not retrieved by individual identifier and is not currently stored on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2.16(3)</w:t>
      </w:r>
      <w:r>
        <w:rPr>
          <w:rFonts w:ascii="Times New Roman" w:hAnsi="Times New Roman"/>
          <w:b w:val="false"/>
          <w:i w:val="false"/>
          <w:color w:val="000000"/>
          <w:sz w:val="22"/>
        </w:rPr>
        <w:t> </w:t>
      </w:r>
      <w:r>
        <w:rPr>
          <w:rFonts w:ascii="Times New Roman" w:hAnsi="Times New Roman"/>
          <w:b w:val="false"/>
          <w:i w:val="false"/>
          <w:color w:val="000000"/>
          <w:sz w:val="22"/>
        </w:rPr>
        <w:t>All other records that are not exempted from disclosure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12/1/21</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11.2.1.pdf" Type="http://schemas.openxmlformats.org/officeDocument/2006/relationships/hyperlink" Id="rId4"/>
    <Relationship TargetMode="External" Target="https://www.legis.iowa.gov/docs/iac/rule/611.2.13.pdf" Type="http://schemas.openxmlformats.org/officeDocument/2006/relationships/hyperlink" Id="rId5"/>
    <Relationship TargetMode="External" Target="https://www.legis.iowa.gov/docs/ico/chapter/17A.4.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