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567—69.6</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treatment—other.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69.6(1)</w:t>
      </w:r>
      <w:r>
        <w:rPr>
          <w:rFonts w:ascii="Times New Roman" w:hAnsi="Times New Roman"/>
          <w:b w:val="false"/>
          <w:i w:val="false"/>
          <w:color w:val="000000"/>
          <w:sz w:val="22"/>
        </w:rPr>
        <w:t> </w:t>
      </w:r>
      <w:r>
        <w:rPr>
          <w:rFonts w:ascii="Times New Roman" w:hAnsi="Times New Roman"/>
          <w:b w:val="false"/>
          <w:i/>
          <w:color w:val="000000"/>
          <w:sz w:val="22"/>
        </w:rPr>
        <w:t xml:space="preserve">Intermittent subsurface sand filters (ISSFs). </w:t>
      </w:r>
      <w:r>
        <w:rPr>
          <w:rFonts w:ascii="Times New Roman" w:hAnsi="Times New Roman"/>
          <w:b w:val="false"/>
          <w:i w:val="false"/>
          <w:color w:val="000000"/>
          <w:sz w:val="22"/>
        </w:rPr>
        <w:t>The following provisions apply to ISSFs.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ISSFs may be used when the administrative authority determines the site is unacceptable for a soil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ISSFs shall be located in accordance with the SDs in Table I in </w:t>
      </w:r>
      <w:hyperlink r:id="rId4">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ISSFs shall have a sample port or means of collecting a representative effluent sample.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shall be no construction, such as buildings or concrete driveways, covering any part of an ISSF.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ISSFs may be constructed where the water table is below the bottom of the collector pipe. If the water table is verified to be higher than the bottom of the collector pipe, an ISSF may only be installed if either a liner is installed or subsurface drainage tile is used to lower the water table, in accordance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needed, a plastic liner shall use a minimum of 30-mil plastic or product of equivalent thickness as determined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water table is lowered by use of subsurface drainage tile, the minimum depth of the drainage tile shall be greater than or equal to the lowest portion of the sand filter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in these rules for ISSFs are minimal and may not be sufficient for all applications. Other design information beyond the scope of these rules may be necessary to properly design an ISSF. Refer to Appendix F of this chapter for ISSF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69.6(2)</w:t>
      </w:r>
      <w:r>
        <w:rPr>
          <w:rFonts w:ascii="Times New Roman" w:hAnsi="Times New Roman"/>
          <w:b w:val="false"/>
          <w:i w:val="false"/>
          <w:color w:val="000000"/>
          <w:sz w:val="22"/>
        </w:rPr>
        <w:t> </w:t>
      </w:r>
      <w:r>
        <w:rPr>
          <w:rFonts w:ascii="Times New Roman" w:hAnsi="Times New Roman"/>
          <w:b w:val="false"/>
          <w:i/>
          <w:color w:val="000000"/>
          <w:sz w:val="22"/>
        </w:rPr>
        <w:t xml:space="preserve">Proprietary treatment systems (PTSs). </w:t>
      </w:r>
      <w:r>
        <w:rPr>
          <w:rFonts w:ascii="Times New Roman" w:hAnsi="Times New Roman"/>
          <w:b w:val="false"/>
          <w:i w:val="false"/>
          <w:color w:val="000000"/>
          <w:sz w:val="22"/>
        </w:rPr>
        <w:t>The following provisions apply to all PTSs.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may be used when the administrative authority determines the site is unacceptable for a soil absorption system or an ISSF.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PTS manufacturers shall submit to the department, by February 1 of each year, their current installation and maintenance manual, including the applicable third-party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PTS that utilizes replaceable media, a media disposal plan shall be included in the installation and maintenance manual. Used media from a PTS is considered “septage,” and septage shall be disposed of in accordance with </w:t>
      </w:r>
      <w:hyperlink r:id="rId5">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PTSs shall be located in accordance with the SDs in Table I in </w:t>
      </w:r>
      <w:hyperlink r:id="rId6">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 installation, and operation. </w:t>
      </w:r>
      <w:r>
        <w:rPr>
          <w:rFonts w:ascii="Times New Roman" w:hAnsi="Times New Roman"/>
          <w:b w:val="false"/>
          <w:i w:val="false"/>
          <w:color w:val="000000"/>
          <w:sz w:val="22"/>
        </w:rPr>
        <w:t xml:space="preserve">A PTS shall be installed and operated in accordance with the manufacturer’s requirements. Additionally: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other than an aerobic treatment unit shall be preceded by a septic tank with a minimum capacity in accordance with </w:t>
      </w:r>
      <w:hyperlink r:id="rId7">
        <w:r>
          <w:rPr>
            <w:rStyle w:val="Hyperlink"/>
            <w:rFonts w:ascii="Times New Roman" w:hAnsi="Times New Roman"/>
            <w:b w:val="false"/>
            <w:i w:val="false"/>
            <w:color w:val="000000"/>
            <w:sz w:val="22"/>
          </w:rPr>
          <w:t>69.3(2)</w:t>
        </w:r>
      </w:hyperlink>
      <w:r>
        <w:rPr>
          <w:rFonts w:ascii="Times New Roman" w:hAnsi="Times New Roman"/>
          <w:b w:val="false"/>
          <w:i w:val="false"/>
          <w:color w:val="000000"/>
          <w:sz w:val="22"/>
        </w:rPr>
        <w:t>, or shall have an incorporated component that is, or performs the same function as, a septic tank. A pretank or chamber that is part of the design, that is intended to serve the same function as a septic tank, and that was approved by third-party certification shall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aerobic treatment unit PTS that does not have an incorporated component that is, or performs the same function as, a septic tank as part of the approved design shall be preceded by a pretreatment tank with a minimum capacity of 500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that utilizes a soil absorption system to disperse the treated effluent shall comply with </w:t>
      </w:r>
      <w:hyperlink r:id="rId8">
        <w:r>
          <w:rPr>
            <w:rStyle w:val="Hyperlink"/>
            <w:rFonts w:ascii="Times New Roman" w:hAnsi="Times New Roman"/>
            <w:b w:val="false"/>
            <w:i w:val="false"/>
            <w:color w:val="000000"/>
            <w:sz w:val="22"/>
          </w:rPr>
          <w:t>567—69.5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PTSs shall have a sample port or means of collecting a representative effluent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installation, a contract for PTS monitoring and maintenance shall be established between the system owner and a manufacturer-certified technician. A maintenance contract is required for the life of the system. A copy of the maintenance contract shall be made available to the administrative authority. A PTS shall be inspected, monitored, and maintained in accordance with the manufacturer’s specifications and third-party certification, or at least once annually, whichever is more frequent.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PTS monitoring and maintenance shall be performed by a manufacturer-certified technician. PTS manufacturers shall ensure that an adequate number of certified technicians are available to service their PTSs at the specified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technicians shall report monitoring and maintenance results to the system owner and to the administrative authority. Certified technicians shall also report any discontinuance of PTS maintenance to the administrative authority.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60.2.pdf" Type="http://schemas.openxmlformats.org/officeDocument/2006/relationships/hyperlink" Id="rId4"/>
    <Relationship TargetMode="External" Target="https://www.legis.iowa.gov/docs/iac/chapter/567.68.pdf" Type="http://schemas.openxmlformats.org/officeDocument/2006/relationships/hyperlink" Id="rId5"/>
    <Relationship TargetMode="External" Target="https://www.legis.iowa.gov/docs/iac/rule/567.60.2.pdf" Type="http://schemas.openxmlformats.org/officeDocument/2006/relationships/hyperlink" Id="rId6"/>
    <Relationship TargetMode="External" Target="https://www.legis.iowa.gov/docs/iac/rule/567.69.3.pdf" Type="http://schemas.openxmlformats.org/officeDocument/2006/relationships/hyperlink" Id="rId7"/>
    <Relationship TargetMode="External" Target="https://www.legis.iowa.gov/docs/iac/rule/567.69.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