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561—2506.4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Electronic requests for contested case proceeding.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entitled to a contested case proceeding must electronically file written request for such a proceeding within the time specified by the governing rules or statutes or, if no rule or statute sets such a time, within 60 days.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0432D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6/18/26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