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561—2505.9</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This rule describes the nature and extent of personally identifiable information that is collected, maintained, and retrieved by the department of natural resources by personal identifier in record systems. For the purposes of this rule, “record system” means any group of records under the control of the agency from which a record may be retrieved by a personal identifier, such as the name of an individual, number, symbol, or other unique retriever assigned to an individual. Records maintained by the department of natural resources, the environmental protection commission, and the natural resource commission are in accordance with guidelines as set forth by the state records commission’s file system. An updated index is maintained by the department and is available for public inspection. Records are collected pursuant to authorities contained in Iowa Code title XI. Records are stored on paper; microfilm; microfiche; and, in some cases, automated data processing systems, such as electronic management systems and department web applications. Department of natural resources and natural resource commission records may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2505.9(1)</w:t>
      </w:r>
      <w:r>
        <w:rPr>
          <w:rFonts w:ascii="Times New Roman" w:hAnsi="Times New Roman"/>
          <w:b w:val="false"/>
          <w:i w:val="false"/>
          <w:color w:val="000000"/>
          <w:sz w:val="22"/>
        </w:rPr>
        <w:t> </w:t>
      </w:r>
      <w:r>
        <w:rPr>
          <w:rFonts w:ascii="Times New Roman" w:hAnsi="Times New Roman"/>
          <w:b w:val="false"/>
          <w:i w:val="false"/>
          <w:color w:val="000000"/>
          <w:sz w:val="22"/>
        </w:rPr>
        <w:t>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Administration, organization, and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Organization and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Planning and programming.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Administrative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Insurance and bonding.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Departmental emergency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Correspondence and reference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Information and public relations.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Budgets, accounting and financial analysis.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Budget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Accounting.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 accounting.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Office services and facilities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Communications.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Printing and reproduction.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Records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Motor pool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Facilities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Engineering and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Equipment, supplies, and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Procurement.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Property accountability.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Legislative and legal.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Department legislative liaison.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Bills, joint resolutions, amendments, messages, and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Federal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Administrative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Attorney general opinions and research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Claims against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Lawsuits filed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28E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Personnel and payroll.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Employee personnel/payroll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Merit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Payroll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Position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Preemployment.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Certification and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Scheduling, assignments, and working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Grievances.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Training and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Employee benefits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Employment relations.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Equal employment opportunity.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Management improvement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Delegation of authority and signature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Conservation and environment.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Surface and groundwater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Natural resources geographic information system (GIS) library.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Oil/gas exploration and drilling.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Water conservation.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Land conservation.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Soil conservation.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Forestry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Fish and game conservation.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Recreation.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Environmental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Air quality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Water quality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Land quality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Hazardous material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Hazardous waste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Underground storage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Leaking underground storage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Radioactive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Environmental—interdisciplinary.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2505.9(2)</w:t>
      </w:r>
      <w:r>
        <w:rPr>
          <w:rFonts w:ascii="Times New Roman" w:hAnsi="Times New Roman"/>
          <w:b w:val="false"/>
          <w:i w:val="false"/>
          <w:color w:val="000000"/>
          <w:sz w:val="22"/>
        </w:rPr>
        <w:t> </w:t>
      </w:r>
      <w:r>
        <w:rPr>
          <w:rFonts w:ascii="Times New Roman" w:hAnsi="Times New Roman"/>
          <w:b w:val="false"/>
          <w:i w:val="false"/>
          <w:color w:val="000000"/>
          <w:sz w:val="22"/>
        </w:rPr>
        <w:t>Natural resource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Tort claims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Numerous licensing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Lifetime 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Boat registrations.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Docks, mooring, buoys or raft registrations.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Snowmobile registrations.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Miscellaneous mailing list (e.g., magazine).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Payroll and personnel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Fur buyer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Fish and game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Safety certified students (hunter safety, snowmobile safety, and boating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Special events applications and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Snowmobile accident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Boating accident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Drowning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Timber buyer reports and bonds.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Work programs with Iowa State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Timber management and forestry.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State park ranger violation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Incident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Donations.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Real estate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Encroachments.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Campground host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Law enforcement intelligence network (LEIN) and turn in poachers (TIP).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Park leases and concessions.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0433D</w:t>
      </w:r>
      <w:r>
        <w:rPr>
          <w:rFonts w:ascii="Times New Roman" w:hAnsi="Times New Roman"/>
          <w:b w:val="false"/>
          <w:i w:val="false"/>
          <w:color w:val="000000"/>
          <w:sz w:val="16"/>
        </w:rPr>
        <w:t>, IAB 7/8/26, effective 6/18/26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