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561—2505.5</w:t>
      </w:r>
      <w:r>
        <w:rPr>
          <w:rFonts w:ascii="Times New Roman" w:hAnsi="Times New Roman"/>
          <w:b/>
          <w:i w:val="false"/>
          <w:color w:val="000000"/>
          <w:sz w:val="22"/>
        </w:rPr>
        <w:t xml:space="preserve">(17A,22)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another applicable provision of law, or a court order. Unless deemed as a confidential record or considered as a confidential record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all records are considered public and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written request that a record be treated as a confidential record and be withheld from public inspection should be filed with the custodian. The request must set forth the legal and factual basis justifying such confidential record treatment for that record. The request should include two copies of the record in question: one copy of the record with all information provided and a second copy of the record with the information being requested confidential deleted from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2505.5(3)</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2505.5(4)</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2505.5(5)</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will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will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if a court directs the custodian to treat it as a confidential record,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2505.5(6)</w:t>
      </w:r>
      <w:r>
        <w:rPr>
          <w:rFonts w:ascii="Times New Roman" w:hAnsi="Times New Roman"/>
          <w:b w:val="false"/>
          <w:i w:val="false"/>
          <w:color w:val="000000"/>
          <w:sz w:val="22"/>
        </w:rPr>
        <w:t> </w:t>
      </w:r>
      <w:r>
        <w:rPr>
          <w:rFonts w:ascii="Times New Roman" w:hAnsi="Times New Roman"/>
          <w:b w:val="false"/>
          <w:i/>
          <w:color w:val="000000"/>
          <w:sz w:val="22"/>
        </w:rPr>
        <w:t xml:space="preserve">Processing of confidentiality claims. </w:t>
      </w:r>
      <w:r>
        <w:rPr>
          <w:rFonts w:ascii="Times New Roman" w:hAnsi="Times New Roman"/>
          <w:b w:val="false"/>
          <w:i w:val="false"/>
          <w:color w:val="000000"/>
          <w:sz w:val="22"/>
        </w:rPr>
        <w:t>In order to request a record be held confidential with the department, the party will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Applicability/availability. Businesses that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will be available to the public.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Confidentiality request process. An entity that submits information to the department may assert a confidentiality claim in accordance with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Attach a cover sheet indicating the entity is seeking the information to be held confidential. The submission will include a letter of substantiation with the information required by paragraph </w:t>
      </w:r>
      <w:hyperlink r:id="rId8">
        <w:r>
          <w:rPr>
            <w:rStyle w:val="Hyperlink"/>
            <w:rFonts w:ascii="Times New Roman" w:hAnsi="Times New Roman"/>
            <w:b w:val="false"/>
            <w:i w:val="false"/>
            <w:color w:val="000000"/>
            <w:sz w:val="22"/>
          </w:rPr>
          <w:t>2505.5(6)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 two copies of the information: one copy with all information present and a second copy with the information for which the party wishes to claim confidential treatment deleted from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Contents of claim. All claims for confidentiality must be substantiated with the following information in a letter attached to the proposed confidential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all measures the business has taken to protect the confidentiality of the information and a statement of intent to continue to take such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and policies of other businesses, if known, regarding confidentiality of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is not, and has not been, reasonably attainable without the consent of the business by other persons other than government bodies by use of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demonstrating that disclosure of the information is likely to cause substantial harm to the business’s competitive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reference to any other determinations of confidential status of the information or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action by department. All claims will be reviewed for completeness and applicability of subrule </w:t>
      </w:r>
      <w:hyperlink r:id="rId9">
        <w:r>
          <w:rPr>
            <w:rStyle w:val="Hyperlink"/>
            <w:rFonts w:ascii="Times New Roman" w:hAnsi="Times New Roman"/>
            <w:b w:val="false"/>
            <w:i w:val="false"/>
            <w:color w:val="000000"/>
            <w:sz w:val="22"/>
          </w:rPr>
          <w:t>2505.5(8)</w:t>
        </w:r>
      </w:hyperlink>
      <w:r>
        <w:rPr>
          <w:rFonts w:ascii="Times New Roman" w:hAnsi="Times New Roman"/>
          <w:b w:val="false"/>
          <w:i w:val="false"/>
          <w:color w:val="000000"/>
          <w:sz w:val="22"/>
        </w:rPr>
        <w:t xml:space="preserve">. If the claim does not include the substantiation required by paragraph </w:t>
      </w:r>
      <w:hyperlink r:id="rId10">
        <w:r>
          <w:rPr>
            <w:rStyle w:val="Hyperlink"/>
            <w:rFonts w:ascii="Times New Roman" w:hAnsi="Times New Roman"/>
            <w:b w:val="false"/>
            <w:i w:val="false"/>
            <w:color w:val="000000"/>
            <w:sz w:val="22"/>
          </w:rPr>
          <w:t>2505.5(6)</w:t>
        </w:r>
      </w:hyperlink>
      <w:r>
        <w:rPr>
          <w:rFonts w:ascii="Times New Roman" w:hAnsi="Times New Roman"/>
          <w:b w:val="false"/>
          <w:i/>
          <w:color w:val="000000"/>
          <w:sz w:val="22"/>
        </w:rPr>
        <w:t>“c,”</w:t>
      </w:r>
      <w:r>
        <w:rPr>
          <w:rFonts w:ascii="Times New Roman" w:hAnsi="Times New Roman"/>
          <w:b w:val="false"/>
          <w:i w:val="false"/>
          <w:color w:val="000000"/>
          <w:sz w:val="22"/>
        </w:rPr>
        <w:t xml:space="preserve"> or if the claim relates to information within subrule </w:t>
      </w:r>
      <w:hyperlink r:id="rId11">
        <w:r>
          <w:rPr>
            <w:rStyle w:val="Hyperlink"/>
            <w:rFonts w:ascii="Times New Roman" w:hAnsi="Times New Roman"/>
            <w:b w:val="false"/>
            <w:i w:val="false"/>
            <w:color w:val="000000"/>
            <w:sz w:val="22"/>
          </w:rPr>
          <w:t>2505.5(8)</w:t>
        </w:r>
      </w:hyperlink>
      <w:r>
        <w:rPr>
          <w:rFonts w:ascii="Times New Roman" w:hAnsi="Times New Roman"/>
          <w:b w:val="false"/>
          <w:i w:val="false"/>
          <w:color w:val="000000"/>
          <w:sz w:val="22"/>
        </w:rPr>
        <w:t xml:space="preserve">, the business making the claim will be notified by certified mail. If the substantiation or comment regarding the inapplicability of subrule </w:t>
      </w:r>
      <w:hyperlink r:id="rId12">
        <w:r>
          <w:rPr>
            <w:rStyle w:val="Hyperlink"/>
            <w:rFonts w:ascii="Times New Roman" w:hAnsi="Times New Roman"/>
            <w:b w:val="false"/>
            <w:i w:val="false"/>
            <w:color w:val="000000"/>
            <w:sz w:val="22"/>
          </w:rPr>
          <w:t>2505.5(8)</w:t>
        </w:r>
      </w:hyperlink>
      <w:r>
        <w:rPr>
          <w:rFonts w:ascii="Times New Roman" w:hAnsi="Times New Roman"/>
          <w:b w:val="false"/>
          <w:i w:val="false"/>
          <w:color w:val="000000"/>
          <w:sz w:val="22"/>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Substantive criteria for use in confidentiality determinations. Prior determinations by the courts, the department, or other agencies on the information or similar information will be given due consideration and effect. Determinations will hold that business information is entitled to confidential treatment for the benefit of a particular person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has taken and intends to continue to take reasonable measures to protect the confidentiality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information is not readily obtainable by others by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 is not unreasonable in view of the nature of the information, the interests and normal practices of the business, and the practices of other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statute or rule specifically requires disclosure of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substantial likelihood that disclosure of the information would cause substantial harm to the competitive position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Determination. The department will transmit its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will be sent a similar notice in the same manner within ten days of the request. If any substantial comments are received, the final decision will be made by the director or designee. If no substantial comments are received, the preliminary determination becomes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procedures within this rule will not be considered contested case proceedings as provided in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2505.5(7)</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Sealed bids received prior to the time set for public opening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Minutes of closed meetings of a government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details in final orders, decisions, and opinions to the extent required to prevent a clearly unwarranted invasion of personal privacy or trade secrets;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the department’s staff manuals, instructions, or other statements issued that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constitute attorney-client communications, or are otherwise privileged. Attorney work product is confidential under Iowa Code sections </w:t>
      </w:r>
      <w:hyperlink r:id="rId1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1.503(3); Fed. R. Civ. P. 26(b)(3); and case law. Attorney-client communications are confidential under Iowa Code sections </w:t>
      </w:r>
      <w:hyperlink r:id="rId1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2505.5(8)</w:t>
      </w:r>
      <w:r>
        <w:rPr>
          <w:rFonts w:ascii="Times New Roman" w:hAnsi="Times New Roman"/>
          <w:b w:val="false"/>
          <w:i w:val="false"/>
          <w:color w:val="000000"/>
          <w:sz w:val="22"/>
        </w:rPr>
        <w:t> </w:t>
      </w:r>
      <w:r>
        <w:rPr>
          <w:rFonts w:ascii="Times New Roman" w:hAnsi="Times New Roman"/>
          <w:b w:val="false"/>
          <w:i/>
          <w:color w:val="000000"/>
          <w:sz w:val="22"/>
        </w:rPr>
        <w:t xml:space="preserve">Not confidential. </w:t>
      </w:r>
      <w:r>
        <w:rPr>
          <w:rFonts w:ascii="Times New Roman" w:hAnsi="Times New Roman"/>
          <w:b w:val="false"/>
          <w:i w:val="false"/>
          <w:color w:val="000000"/>
          <w:sz w:val="22"/>
        </w:rPr>
        <w:t>Notwithstanding any other provision, the following information will not be considered confidential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Emission data. For purposes of this subrule, “emission data” means the following, with reference to any source of emission of any substance into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or other characteristics (to the extent related to air quality) of any emission that has been emitted by the source (or of any pollutant resulting from any emission by the source) or any combination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or other characteristics (to the extent related to air quality) of the emissions that, under an applicable standard or limitation, the source was authorized to emit (including, to the extent necessary for such purposes, a description of the manner or rate of operation of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Analytical results of monitoring or public water supply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any permit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NPDES permits, applications (including any information required by NPDES application forms), and effluent data. For purposes of this subrule, “effluent data” means the following, with reference to any source of discharge of any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temperature, or other characteristics (to the extent related to water quality) of any pollutant that has been emitted by the source (or of any pollutant resulting from any discharge from the source) or any combination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temperature, or other characteristics (to the extent related to water quality) of the pollutants that, under an applicable standard or limitation, the source was authorized to discharge (including, to the extent necessary for such purposes, a description of the manner or rate of operation of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0433D</w:t>
      </w:r>
      <w:r>
        <w:rPr>
          <w:rFonts w:ascii="Times New Roman" w:hAnsi="Times New Roman"/>
          <w:b w:val="false"/>
          <w:i w:val="false"/>
          <w:color w:val="000000"/>
          <w:sz w:val="16"/>
        </w:rPr>
        <w:t>, IAB 7/8/26, effective 6/18/26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8.pdf" Type="http://schemas.openxmlformats.org/officeDocument/2006/relationships/hyperlink" Id="rId7"/>
    <Relationship TargetMode="External" Target="https://www.legis.iowa.gov/docs/iac/rule/561.2505.5.pdf" Type="http://schemas.openxmlformats.org/officeDocument/2006/relationships/hyperlink" Id="rId8"/>
    <Relationship TargetMode="External" Target="https://www.legis.iowa.gov/docs/iac/rule/561.2505.5.pdf" Type="http://schemas.openxmlformats.org/officeDocument/2006/relationships/hyperlink" Id="rId9"/>
    <Relationship TargetMode="External" Target="https://www.legis.iowa.gov/docs/iac/rule/561.2505.5.pdf" Type="http://schemas.openxmlformats.org/officeDocument/2006/relationships/hyperlink" Id="rId10"/>
    <Relationship TargetMode="External" Target="https://www.legis.iowa.gov/docs/iac/rule/561.2505.5.pdf" Type="http://schemas.openxmlformats.org/officeDocument/2006/relationships/hyperlink" Id="rId11"/>
    <Relationship TargetMode="External" Target="https://www.legis.iowa.gov/docs/iac/rule/561.2505.5.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622.10.pdf" Type="http://schemas.openxmlformats.org/officeDocument/2006/relationships/hyperlink" Id="rId16"/>
    <Relationship TargetMode="External" Target="https://www.legis.iowa.gov/docs/ico/chapter/622.11.pdf" Type="http://schemas.openxmlformats.org/officeDocument/2006/relationships/hyperlink" Id="rId17"/>
    <Relationship TargetMode="External" Target="https://www.legis.iowa.gov/docs/ico/chapter/622.10.pdf" Type="http://schemas.openxmlformats.org/officeDocument/2006/relationships/hyperlink" Id="rId18"/>
    <Relationship TargetMode="External" Target="https://www.legis.iowa.gov/docs/ico/chapter/622.11.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