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547—9.1</w:t>
      </w:r>
      <w:r>
        <w:rPr>
          <w:rFonts w:ascii="Times New Roman" w:hAnsi="Times New Roman"/>
          <w:b/>
          <w:i w:val="false"/>
          <w:color w:val="000000"/>
          <w:sz w:val="22"/>
        </w:rPr>
        <w:t xml:space="preserve">(17A,22)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“Agency.”</w:t>
      </w:r>
      <w:r>
        <w:rPr>
          <w:rFonts w:ascii="Times New Roman" w:hAnsi="Times New Roman"/>
          <w:b w:val="false"/>
          <w:i w:val="false"/>
          <w:color w:val="000000"/>
          <w:sz w:val="22"/>
        </w:rPr>
        <w:t> </w:t>
      </w:r>
      <w:r>
        <w:rPr>
          <w:rFonts w:ascii="Times New Roman" w:hAnsi="Times New Roman"/>
          <w:b w:val="false"/>
          <w:i w:val="false"/>
          <w:color w:val="000000"/>
          <w:sz w:val="22"/>
        </w:rPr>
        <w:t>In lieu of the words “(official or body issuing these rules)”, insert “county finance committee”. As used in these rules, unless the context otherwise requires, “committee” means the county finance committee and “director” means the director of the department of management.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