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495—2506.27</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2506.27(1)</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r>
        <w:rPr>
          <w:rFonts w:ascii="Times New Roman" w:hAnsi="Times New Roman"/>
          <w:b w:val="false"/>
          <w:i w:val="false"/>
          <w:color w:val="000000"/>
          <w:sz w:val="22"/>
        </w:rPr>
        <w:t xml:space="preserve">Any adversely affected party may appeal a proposed decision to the employment appeal board as provided in Iowa Code section </w:t>
      </w:r>
      <w:hyperlink r:id="rId4">
        <w:r>
          <w:rPr>
            <w:rStyle w:val="Hyperlink"/>
            <w:rFonts w:ascii="Times New Roman" w:hAnsi="Times New Roman"/>
            <w:b w:val="false"/>
            <w:i w:val="false"/>
            <w:color w:val="000000"/>
            <w:sz w:val="22"/>
          </w:rPr>
          <w:t>97B.27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2506.27(3)</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 xml:space="preserve">An appeal of a proposed decision is initiated by filing a timely notice of appeal with the employment appeal board as provided in Iowa Code section </w:t>
      </w:r>
      <w:hyperlink r:id="rId5">
        <w:r>
          <w:rPr>
            <w:rStyle w:val="Hyperlink"/>
            <w:rFonts w:ascii="Times New Roman" w:hAnsi="Times New Roman"/>
            <w:b w:val="false"/>
            <w:i w:val="false"/>
            <w:color w:val="000000"/>
            <w:sz w:val="22"/>
          </w:rPr>
          <w:t>97B.27</w:t>
        </w:r>
      </w:hyperlink>
      <w:r>
        <w:rPr>
          <w:rFonts w:ascii="Times New Roman" w:hAnsi="Times New Roman"/>
          <w:b w:val="false"/>
          <w:i w:val="false"/>
          <w:color w:val="000000"/>
          <w:sz w:val="22"/>
        </w:rPr>
        <w:t>. The notice of appeal is to be signed by the appealing party or a representative of that party and contain a certificate of service. The notice will specify: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2506.27(4)</w:t>
      </w:r>
      <w:r>
        <w:rPr>
          <w:rFonts w:ascii="Times New Roman" w:hAnsi="Times New Roman"/>
          <w:b w:val="false"/>
          <w:i w:val="false"/>
          <w:color w:val="000000"/>
          <w:sz w:val="22"/>
        </w:rPr>
        <w:t> </w:t>
      </w:r>
      <w:r>
        <w:rPr>
          <w:rFonts w:ascii="Times New Roman" w:hAnsi="Times New Roman"/>
          <w:b w:val="false"/>
          <w:i w:val="false"/>
          <w:color w:val="000000"/>
          <w:sz w:val="22"/>
        </w:rPr>
        <w:t>This subrule is not adopted.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2506.27(5)</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employment appeal board will issue a schedule for consideration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2506.27(6)</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Unless otherwise ordered, within 20 days of the notice of appeal or order for review, each appealing party may file exceptions and briefs. Within 20 days thereafter, any party may file a responsive brief. Briefs will include any applicable legal authority and specify relevant portions of the record in that proceeding. Written requests to present oral argument will be filed with the briefs. The employment appeal board may resolve the appeal on the briefs or provide an opportunity for oral argument. The employment appeal board may shorten or extend the briefing period as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0442D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7B.27.pdf" Type="http://schemas.openxmlformats.org/officeDocument/2006/relationships/hyperlink" Id="rId4"/>
    <Relationship TargetMode="External" Target="https://www.legis.iowa.gov/docs/ico/chapter/97B.27.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