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491—4.9</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Service of administrative actions. </w:t>
      </w:r>
      <w:r>
        <w:rPr>
          <w:rFonts w:ascii="Times New Roman" w:hAnsi="Times New Roman"/>
          <w:b w:val="false"/>
          <w:i w:val="false"/>
          <w:color w:val="000000"/>
          <w:sz w:val="22"/>
        </w:rPr>
        <w:t>Any administrative action taken against an applicant or occupational licensee shall be served on the applicant or occupational licensee by personal service or by certified mail with return receipt requested to the last-known address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If the applicant or licensee is represented by legal counsel, a copy of the written decision shall also be provided to legal counsel by regular mail. However, the applicant or licensee must still be served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If the administrative action involves an alleged medication violation that could result in disqualification of a contestant, the stewards shall provide by regular mail notice of the hearing and all subsequent rulings to the owner of the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