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491—4.8</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Effect of another jurisdiction’s order. </w:t>
      </w:r>
      <w:r>
        <w:rPr>
          <w:rFonts w:ascii="Times New Roman" w:hAnsi="Times New Roman"/>
          <w:b w:val="false"/>
          <w:i w:val="false"/>
          <w:color w:val="000000"/>
          <w:sz w:val="22"/>
        </w:rPr>
        <w:t>The commission or board may take appropriate action against a license holder or other person who has been excluded from a track or gaming establishment in another jurisdiction to exclude that person from any track or gaming establishment under the commission’s jurisdiction. Proceedings shall be conducted in the same manner as prescribed by these rules for determining misconduct on Iowa tracks or in gaming establishments and shall be subject to the same appeal procedures.</w:t>
      </w:r>
    </w:p>
    <w:p>
      <w:pPr>
        <w:spacing w:before="0" w:after="0"/>
        <w:ind w:left="120"/>
        <w:jc w:val="both"/>
      </w:pPr>
      <w:r>
        <w:rPr>
          <w:rFonts w:ascii="Times New Roman" w:hAnsi="Times New Roman"/>
          <w:b w:val="false"/>
          <w:i w:val="false"/>
          <w:color w:val="000000"/>
          <w:sz w:val="22"/>
        </w:rPr>
        <w:t>The commission and stewards shall have discretion to honor rulings from other jurisdictions regarding license suspension or revocation or the eligibility of contestants. Whenever the commission decides to honor an order from another jurisdiction, the commission representatives shall schedule a hearing at which the licensee shall be required to show cause as to why the license should not be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