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491—4.7</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Penalties (gaming board and board of stewards). </w:t>
      </w:r>
      <w:r>
        <w:rPr>
          <w:rFonts w:ascii="Times New Roman" w:hAnsi="Times New Roman"/>
          <w:b w:val="false"/>
          <w:i w:val="false"/>
          <w:color w:val="000000"/>
          <w:sz w:val="22"/>
        </w:rPr>
        <w:t>All penalties imposed will be promptly reported to the commission and facility or other licensed entity in writing. The board may impose one or more of the following penalties: eject and exclude an individual from a facility; revoke a license; suspend a license for up to five years from the date of the original suspension; place a license on probation; deny a license; impose a fine; or order a redistribution of a racing purse or the payment of or the withholding of a gaming payout. The board of stewards may impose a fine of up to $1,000, and the gaming board may impose a fine of up to $3,000. The board may set the dates for which the suspension must be served. The board may also suspend the license of any person currently under suspension or in bad standing in any other state or jurisdiction by a state racing or gaming commission. If the punishment so imposed is not sufficient, in the opinion of the board, the board shall so report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Fines shall be paid within ten calendar days of receipt of the ruling, by the end of business hours, at any commission office. Nonpayment or late payment of a fine may result in an immediate license suspension. All fines are to be paid by the individual assessed the fine.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If the fine is appealed to the board, the appeals process will not stay the fine. The fine will be due as defined in subrule 4.7(1).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val="false"/>
          <w:color w:val="000000"/>
          <w:sz w:val="22"/>
        </w:rPr>
        <w:t>If the party is successful in the appeal, the amount of the fine will be refunded to the party as soon as possible after the date the decision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val="false"/>
          <w:color w:val="000000"/>
          <w:sz w:val="22"/>
        </w:rPr>
        <w:t>Refunds due under subrule 4.7(3) will be mailed to the party’s current address 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val="false"/>
          <w:color w:val="000000"/>
          <w:sz w:val="22"/>
        </w:rPr>
        <w:t>When a racing animal or the holder of an occupational license is suspended by the board at one location, the suspension shall immediately become effective at all other facilities under the jurisdiction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1456C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