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stewards”</w:t>
      </w:r>
      <w:r>
        <w:rPr>
          <w:rFonts w:ascii="Times New Roman" w:hAnsi="Times New Roman"/>
          <w:b w:val="false"/>
          <w:i w:val="false"/>
          <w:color w:val="000000"/>
          <w:sz w:val="22"/>
        </w:rPr>
        <w:t> </w:t>
      </w:r>
      <w:r>
        <w:rPr>
          <w:rFonts w:ascii="Times New Roman" w:hAnsi="Times New Roman"/>
          <w:b w:val="false"/>
          <w:i w:val="false"/>
          <w:color w:val="000000"/>
          <w:sz w:val="22"/>
        </w:rPr>
        <w:t>means a board established by the administrator to review conduct by occupational and pari-mutuel licensees that may constitute violations of the rules and statutes relating to pari-mutuel racing. The administrator may serve as a board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4">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5">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“Gaming board”</w:t>
      </w:r>
      <w:r>
        <w:rPr>
          <w:rFonts w:ascii="Times New Roman" w:hAnsi="Times New Roman"/>
          <w:b w:val="false"/>
          <w:i w:val="false"/>
          <w:color w:val="000000"/>
          <w:sz w:val="22"/>
        </w:rPr>
        <w:t> </w:t>
      </w:r>
      <w:r>
        <w:rPr>
          <w:rFonts w:ascii="Times New Roman" w:hAnsi="Times New Roman"/>
          <w:b w:val="false"/>
          <w:i w:val="false"/>
          <w:color w:val="000000"/>
          <w:sz w:val="22"/>
        </w:rPr>
        <w:t>means a board established by the administrator to review conduct by occupational, excursion gambling boat, gambling structure, sports wagering, fantasy sports contest and gambling game licensees that may constitute violations of the rules and statutes relating to gaming. The administrator may serve as a board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“Gaming representative”</w:t>
      </w:r>
      <w:r>
        <w:rPr>
          <w:rFonts w:ascii="Times New Roman" w:hAnsi="Times New Roman"/>
          <w:b w:val="false"/>
          <w:i w:val="false"/>
          <w:color w:val="000000"/>
          <w:sz w:val="22"/>
        </w:rPr>
        <w:t> </w:t>
      </w:r>
      <w:r>
        <w:rPr>
          <w:rFonts w:ascii="Times New Roman" w:hAnsi="Times New Roman"/>
          <w:b w:val="false"/>
          <w:i w:val="false"/>
          <w:color w:val="000000"/>
          <w:sz w:val="22"/>
        </w:rPr>
        <w:t>means an employee of the commission assigned by the administrator to a licensed pari-mutuel racetrack, excursion gambling boat, or gambling structure to perform the supervisory and regulatory duties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means the administrative law judge presiding over a contested case hearing or the commission in cases heard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administrative law judge’s recommended findings of fact, conclusions of law, decision, and order in a contested case in which the commission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“Steward”</w:t>
      </w:r>
      <w:r>
        <w:rPr>
          <w:rFonts w:ascii="Times New Roman" w:hAnsi="Times New Roman"/>
          <w:b w:val="false"/>
          <w:i w:val="false"/>
          <w:color w:val="000000"/>
          <w:sz w:val="22"/>
        </w:rPr>
        <w:t> </w:t>
      </w:r>
      <w:r>
        <w:rPr>
          <w:rFonts w:ascii="Times New Roman" w:hAnsi="Times New Roman"/>
          <w:b w:val="false"/>
          <w:i w:val="false"/>
          <w:color w:val="000000"/>
          <w:sz w:val="22"/>
        </w:rPr>
        <w:t>means a racing official appointed or approved by the commission to perform the supervisory and regulatory duties relating to pari-mutuel racing.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2.pdf" Type="http://schemas.openxmlformats.org/officeDocument/2006/relationships/hyperlink" Id="rId4"/>
    <Relationship TargetMode="External" Target="https://www.legis.iowa.gov/docs/ico/chapter/17A.10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