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491—4.1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racing and gaming commission. The chapter shall also apply to gaming boards’ and board of stewards’ proceedings and gaming representatives’ or administrator’s designees’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